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40" w:rsidRPr="002E7B7E" w:rsidRDefault="00FF6B40" w:rsidP="00FF6B4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FF6B40" w:rsidRPr="002E7B7E" w:rsidRDefault="00FF6B40" w:rsidP="00FF6B4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FF6B40" w:rsidRDefault="00423219" w:rsidP="0042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4232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OMISSÃO</w:t>
      </w:r>
      <w:r w:rsidR="00864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 NO</w:t>
      </w:r>
      <w:r w:rsidRPr="004232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 DEVER DE PRESTAR CONTAS ANUAIS DE GESTÃO – EMPRESAS ESTATAIS NÃO DEPENDENTES</w:t>
      </w:r>
    </w:p>
    <w:p w:rsidR="00864F49" w:rsidRPr="00423219" w:rsidRDefault="00864F49" w:rsidP="0042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:rsidR="00FF6B40" w:rsidRPr="002E7B7E" w:rsidRDefault="00FF6B40" w:rsidP="00FF6B4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FF6B40" w:rsidRPr="002E7B7E" w:rsidRDefault="00FF6B40" w:rsidP="00FF6B4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FF6B40" w:rsidRPr="002E7B7E" w:rsidRDefault="00FF6B40" w:rsidP="00FF6B4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FF6B40" w:rsidRPr="002E7B7E" w:rsidRDefault="00FF6B40" w:rsidP="00FF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6B40" w:rsidRPr="002E7B7E" w:rsidRDefault="00FF6B40" w:rsidP="00FF6B4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FF6B40" w:rsidRPr="002E7B7E" w:rsidRDefault="00FF6B40" w:rsidP="00FF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820D1A" w:rsidRPr="002E7B7E" w:rsidTr="00A83E7F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D1A" w:rsidRPr="002E7B7E" w:rsidRDefault="00820D1A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820D1A" w:rsidRPr="002E7B7E" w:rsidRDefault="00820D1A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B435E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820D1A" w:rsidRPr="002E7B7E" w:rsidRDefault="00820D1A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820D1A" w:rsidRPr="002E7B7E" w:rsidRDefault="00820D1A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820D1A" w:rsidRPr="002E7B7E" w:rsidRDefault="00820D1A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FF6B40" w:rsidRPr="002E7B7E" w:rsidRDefault="00FF6B40" w:rsidP="00FF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B40" w:rsidRPr="002E7B7E" w:rsidRDefault="00FF6B40" w:rsidP="00FF6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FF6B40" w:rsidRPr="002E7B7E" w:rsidRDefault="00FF6B40" w:rsidP="00FF6B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FF6B40" w:rsidRPr="002E7B7E" w:rsidRDefault="00FF6B40" w:rsidP="00FF6B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FF6B40" w:rsidRPr="002E7B7E" w:rsidRDefault="00FF6B40" w:rsidP="00FF6B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FF6B40" w:rsidRPr="002E7B7E" w:rsidRDefault="00FF6B40" w:rsidP="00FF6B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FF6B40" w:rsidRPr="002E7B7E" w:rsidRDefault="00FF6B40" w:rsidP="00FF6B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FF6B40" w:rsidRPr="002E7B7E" w:rsidRDefault="00FF6B40" w:rsidP="00FF6B40">
      <w:pPr>
        <w:numPr>
          <w:ilvl w:val="0"/>
          <w:numId w:val="4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(art. 3º Deliberação nº 279 e art. 4º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 6º da Deliberação nº 279 e arts.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</w:tbl>
    <w:p w:rsidR="00FF6B40" w:rsidRPr="002E7B7E" w:rsidRDefault="00FF6B40" w:rsidP="00FF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B40" w:rsidRPr="002E7B7E" w:rsidRDefault="00FF6B40" w:rsidP="00FF6B40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FF6B40" w:rsidRPr="002E7B7E" w:rsidTr="00A83E7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 datas dos lançamentos no demonstrativo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FF6B40" w:rsidRPr="002E7B7E" w:rsidTr="00A83E7F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numPr>
                <w:ilvl w:val="0"/>
                <w:numId w:val="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(art.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incidências,  com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</w:tbl>
    <w:p w:rsidR="00FF6B40" w:rsidRPr="002E7B7E" w:rsidRDefault="00FF6B40" w:rsidP="00FF6B40">
      <w:pPr>
        <w:rPr>
          <w:rFonts w:ascii="Times New Roman" w:hAnsi="Times New Roman" w:cs="Times New Roman"/>
        </w:rPr>
      </w:pPr>
    </w:p>
    <w:p w:rsidR="00FF6B40" w:rsidRPr="002E7B7E" w:rsidRDefault="00FF6B40" w:rsidP="00FF6B40">
      <w:pPr>
        <w:pStyle w:val="PargrafodaLista"/>
        <w:numPr>
          <w:ilvl w:val="1"/>
          <w:numId w:val="2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FF6B40" w:rsidRPr="002E7B7E" w:rsidRDefault="00FF6B40" w:rsidP="00FF6B40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DE OMISSÃO NO DEVER DE PRESTAR CONTAS ANUAIS </w:t>
      </w:r>
      <w:r>
        <w:rPr>
          <w:rFonts w:ascii="Times New Roman" w:hAnsi="Times New Roman" w:cs="Times New Roman"/>
          <w:b/>
          <w:lang w:eastAsia="pt-BR"/>
        </w:rPr>
        <w:t xml:space="preserve">DE GESTÃO – </w:t>
      </w:r>
      <w:r w:rsidR="00697553">
        <w:rPr>
          <w:rFonts w:ascii="Times New Roman" w:hAnsi="Times New Roman" w:cs="Times New Roman"/>
          <w:b/>
          <w:lang w:eastAsia="pt-BR"/>
        </w:rPr>
        <w:t xml:space="preserve">EMPRESAS ESTATAIS NÃO DEPENDENTES </w:t>
      </w:r>
      <w:r>
        <w:rPr>
          <w:rFonts w:ascii="Times New Roman" w:hAnsi="Times New Roman" w:cs="Times New Roman"/>
          <w:b/>
          <w:lang w:eastAsia="pt-BR"/>
        </w:rPr>
        <w:t>(</w:t>
      </w:r>
      <w:r w:rsidRPr="002E7B7E">
        <w:rPr>
          <w:rFonts w:ascii="Times New Roman" w:hAnsi="Times New Roman" w:cs="Times New Roman"/>
          <w:b/>
          <w:lang w:eastAsia="pt-BR"/>
        </w:rPr>
        <w:t>Art. 2º. Inc I, c/c Art. 8 § único da Del. 279/2017)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FF6B40" w:rsidP="00D50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D50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FF6B40" w:rsidP="00D50946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Cadastros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responsáveis,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conforme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Modelo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1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277/17: do responsável pelo encaminhamento das contas; do responsável pelo setor contábil; do responsável pela Unidade Central de Controle Interno; de outros responsáveis, de acordo com o §3º  e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8A0E58" w:rsidP="00D50946">
            <w:pPr>
              <w:widowControl w:val="0"/>
              <w:tabs>
                <w:tab w:val="left" w:pos="871"/>
                <w:tab w:val="left" w:pos="8050"/>
              </w:tabs>
              <w:autoSpaceDE w:val="0"/>
              <w:autoSpaceDN w:val="0"/>
              <w:spacing w:before="204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Quadro</w:t>
            </w:r>
            <w:r w:rsidRPr="00D5094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Auxiliar</w:t>
            </w:r>
            <w:r w:rsidRPr="00D5094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</w:t>
            </w:r>
            <w:r w:rsidRPr="00D5094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Disponibilidades</w:t>
            </w:r>
            <w:r w:rsidRPr="00D5094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Financeiras</w:t>
            </w:r>
            <w:r w:rsidRPr="00D5094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Quadros</w:t>
            </w:r>
            <w:r w:rsidR="00D50946">
              <w:rPr>
                <w:rFonts w:ascii="Times New Roman" w:hAnsi="Times New Roman" w:cs="Times New Roman"/>
                <w:w w:val="95"/>
              </w:rPr>
              <w:t>.</w:t>
            </w:r>
            <w:r w:rsidRPr="00D50946">
              <w:rPr>
                <w:rFonts w:ascii="Times New Roman" w:hAnsi="Times New Roman" w:cs="Times New Roman"/>
              </w:rPr>
              <w:tab/>
            </w:r>
            <w:r w:rsidRPr="00D50946">
              <w:rPr>
                <w:rFonts w:ascii="Times New Roman" w:hAnsi="Times New Roman" w:cs="Times New Roman"/>
                <w:w w:val="90"/>
              </w:rPr>
              <w:t>1</w:t>
            </w:r>
            <w:r w:rsidRPr="00D50946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e</w:t>
            </w:r>
            <w:r w:rsidRPr="00D50946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2,</w:t>
            </w:r>
            <w:r w:rsidRPr="00D50946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Modelo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2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da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Deliberação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06664E" w:rsidP="00D50946">
            <w:pPr>
              <w:widowControl w:val="0"/>
              <w:tabs>
                <w:tab w:val="left" w:pos="714"/>
              </w:tabs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Relatório elaborado pela Unidade Central do Controle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Interno, com conteúdo mínimo previsto no Modelo 3E da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Deliberação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277/17,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além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outros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considerados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na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abordagem baseada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em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risco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para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definição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escopo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auditoria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      </w:t>
            </w:r>
            <w:r w:rsidRPr="00D50946">
              <w:rPr>
                <w:rFonts w:ascii="Times New Roman" w:hAnsi="Times New Roman" w:cs="Times New Roman"/>
                <w:w w:val="95"/>
              </w:rPr>
              <w:t>natureza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extensão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procedimentos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aplicados,</w:t>
            </w:r>
            <w:r w:rsidRPr="00D50946">
              <w:rPr>
                <w:rFonts w:ascii="Times New Roman" w:hAnsi="Times New Roman" w:cs="Times New Roman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acompanhado de Certificado de Auditoria, com parecer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conclusivo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sobre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regularidade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irregularidade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contas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responsáveis.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8942E9" w:rsidP="00D50946">
            <w:pPr>
              <w:widowControl w:val="0"/>
              <w:tabs>
                <w:tab w:val="left" w:pos="714"/>
              </w:tabs>
              <w:autoSpaceDE w:val="0"/>
              <w:autoSpaceDN w:val="0"/>
              <w:spacing w:before="97" w:after="0" w:line="283" w:lineRule="auto"/>
              <w:ind w:right="23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Declaração do Gestor informando as medidas tomadas para</w:t>
            </w:r>
            <w:r w:rsidRPr="00D50946">
              <w:rPr>
                <w:rFonts w:ascii="Times New Roman" w:hAnsi="Times New Roman" w:cs="Times New Roman"/>
                <w:spacing w:val="-6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saneamento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irregularidades,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caso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encontradas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em</w:t>
            </w:r>
            <w:r w:rsidRPr="00D5094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relatório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auditoria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realizada</w:t>
            </w:r>
            <w:r w:rsidRPr="00D50946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pelo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controle</w:t>
            </w:r>
            <w:r w:rsidRPr="00D50946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interno.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182954" w:rsidP="00D50946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78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Relatório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responsável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pelo</w:t>
            </w:r>
            <w:r w:rsidRPr="00D50946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setor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contábil,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conforme.</w:t>
            </w:r>
            <w:r w:rsidRPr="00D50946">
              <w:rPr>
                <w:rFonts w:ascii="Times New Roman" w:hAnsi="Times New Roman" w:cs="Times New Roman"/>
              </w:rPr>
              <w:tab/>
            </w:r>
            <w:r w:rsidRPr="00D50946">
              <w:rPr>
                <w:rFonts w:ascii="Times New Roman" w:hAnsi="Times New Roman" w:cs="Times New Roman"/>
                <w:noProof/>
                <w:spacing w:val="-17"/>
                <w:position w:val="2"/>
                <w:lang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946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Modelo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4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da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Deliberação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277/17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182954" w:rsidP="00D50946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Lei de Criação/Autorização, Estatuto e demais Normas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Regulamentadoras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posteriores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havidas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exercício</w:t>
            </w:r>
            <w:r w:rsidRPr="00D50946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declaração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expressa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sua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não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ocorrência.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C213E9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before="1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Cópias dos relatórios e pareceres de órgãos colegiados e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entidades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que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devam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se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pronunciar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sobre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as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contas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sobre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gestão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unidade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jurisdicionada</w:t>
            </w:r>
            <w:r w:rsidRPr="00D50946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no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exercício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em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análise, consoante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previsão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em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lei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em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seus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atos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constitutivos</w:t>
            </w:r>
            <w:r w:rsidRPr="00D50946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                             </w:t>
            </w:r>
            <w:r w:rsidRPr="00D50946">
              <w:rPr>
                <w:rFonts w:ascii="Times New Roman" w:hAnsi="Times New Roman" w:cs="Times New Roman"/>
                <w:w w:val="95"/>
              </w:rPr>
              <w:t>(Conselhos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Administração,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Conselhos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Fiscais,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Conselhos</w:t>
            </w:r>
            <w:r w:rsidRPr="00D50946">
              <w:rPr>
                <w:rFonts w:ascii="Times New Roman" w:hAnsi="Times New Roman" w:cs="Times New Roman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Consultivos,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Conselhos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Deliberativos,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Conselhos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Municipais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vinculados aos Fundos Especiais, dentre outros), quando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aplicáveis.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4E2398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Cópia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Ata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Assembleia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Geral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Ordinária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Extraordinária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(AGO/AGE)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que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elegeu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ou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destituiu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administradores.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4E2398" w:rsidP="00D50946">
            <w:pPr>
              <w:widowControl w:val="0"/>
              <w:tabs>
                <w:tab w:val="left" w:pos="714"/>
              </w:tabs>
              <w:autoSpaceDE w:val="0"/>
              <w:autoSpaceDN w:val="0"/>
              <w:spacing w:before="229" w:after="0" w:line="283" w:lineRule="auto"/>
              <w:ind w:right="82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Relatório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anual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Administração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sobre</w:t>
            </w:r>
            <w:r w:rsidRPr="00D5094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os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negócios</w:t>
            </w:r>
            <w:r w:rsidRPr="00D5094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sociais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os principais fatos administrativos do exercício findo e o exame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 demonstrações financeiras (inciso I do art. 133 da Lei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6.404/76</w:t>
            </w:r>
            <w:r w:rsidRPr="00D50946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e</w:t>
            </w:r>
            <w:r w:rsidRPr="00D50946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posteriores).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886512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Balancete Analítico evidenciando a movimentação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acumulada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receita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despesa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saldo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dezembro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exercício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encerrado.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886512" w:rsidP="00D50946">
            <w:pPr>
              <w:widowControl w:val="0"/>
              <w:tabs>
                <w:tab w:val="left" w:pos="871"/>
                <w:tab w:val="left" w:pos="8050"/>
              </w:tabs>
              <w:autoSpaceDE w:val="0"/>
              <w:autoSpaceDN w:val="0"/>
              <w:spacing w:before="1" w:after="0" w:line="280" w:lineRule="auto"/>
              <w:ind w:right="23"/>
              <w:jc w:val="both"/>
              <w:rPr>
                <w:rFonts w:ascii="Times New Roman" w:hAnsi="Times New Roman" w:cs="Times New Roman"/>
                <w:w w:val="95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Balanço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Patrimonial,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laborado</w:t>
            </w:r>
            <w:r w:rsidRPr="00D50946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acordo</w:t>
            </w:r>
            <w:r w:rsidRPr="00D50946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com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Lei</w:t>
            </w:r>
            <w:r w:rsidRPr="00D50946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e</w:t>
            </w:r>
            <w:r w:rsidRPr="00D50946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BC5CAD" w:rsidP="00D50946">
            <w:pPr>
              <w:pStyle w:val="Corpodetexto"/>
              <w:tabs>
                <w:tab w:val="left" w:pos="4286"/>
                <w:tab w:val="left" w:pos="8050"/>
              </w:tabs>
              <w:spacing w:before="32" w:line="278" w:lineRule="auto"/>
              <w:jc w:val="both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Demonstração</w:t>
            </w:r>
            <w:r w:rsidRPr="00D50946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D50946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Resultado</w:t>
            </w:r>
            <w:r w:rsidRPr="00D50946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D50946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Exercício,</w:t>
            </w:r>
            <w:r w:rsidRPr="00D50946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elaborado</w:t>
            </w:r>
            <w:r w:rsidRPr="00D50946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de acordo com a Lei  Lei</w:t>
            </w:r>
            <w:r w:rsidRPr="00D50946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  <w:sz w:val="22"/>
                <w:szCs w:val="22"/>
              </w:rPr>
              <w:t>6.404/76</w:t>
            </w:r>
            <w:r w:rsidRPr="00D50946">
              <w:rPr>
                <w:rFonts w:ascii="Times New Roman" w:hAnsi="Times New Roman" w:cs="Times New Roman"/>
                <w:spacing w:val="-16"/>
                <w:w w:val="90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  <w:sz w:val="22"/>
                <w:szCs w:val="22"/>
              </w:rPr>
              <w:t>e</w:t>
            </w:r>
            <w:r w:rsidRPr="00D50946">
              <w:rPr>
                <w:rFonts w:ascii="Times New Roman" w:hAnsi="Times New Roman" w:cs="Times New Roman"/>
                <w:spacing w:val="-16"/>
                <w:w w:val="90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  <w:sz w:val="22"/>
                <w:szCs w:val="22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16"/>
                <w:w w:val="90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  <w:sz w:val="22"/>
                <w:szCs w:val="22"/>
              </w:rPr>
              <w:t>posteriores.</w:t>
            </w:r>
            <w:r w:rsidRPr="00D5094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50946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946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position w:val="2"/>
                <w:sz w:val="22"/>
                <w:szCs w:val="22"/>
              </w:rPr>
              <w:t xml:space="preserve">                             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D50946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Lei</w:t>
            </w:r>
            <w:r w:rsidRPr="00D50946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A10AE1" w:rsidP="00D50946">
            <w:pPr>
              <w:widowControl w:val="0"/>
              <w:tabs>
                <w:tab w:val="left" w:pos="871"/>
                <w:tab w:val="left" w:pos="3861"/>
                <w:tab w:val="left" w:pos="4168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Demonstração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Fluxos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Caixa,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elaborado</w:t>
            </w:r>
            <w:r w:rsidRPr="00D5094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 xml:space="preserve">acordo </w:t>
            </w:r>
            <w:r w:rsidRPr="00D50946">
              <w:rPr>
                <w:rFonts w:ascii="Times New Roman" w:hAnsi="Times New Roman" w:cs="Times New Roman"/>
              </w:rPr>
              <w:t>com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a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Lei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e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D7196A" w:rsidP="00D50946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Demonstração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Mutações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Patrimônio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Líquido-</w:t>
            </w:r>
            <w:r w:rsidRPr="00D5094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DMPL,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elaborado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acordo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com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Lei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posteriores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alterações.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D7196A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Demonstração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Resultado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Abrangente,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elaborado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acordo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com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Lei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D7196A" w:rsidP="00D50946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Notas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Explicativas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às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Demonstrações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Contábeis,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elaborado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acordo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com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Lei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96A" w:rsidRPr="00D50946" w:rsidRDefault="00D7196A" w:rsidP="00D50946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Cópia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publicação</w:t>
            </w:r>
            <w:r w:rsidRPr="00D5094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Demonstrações</w:t>
            </w:r>
            <w:r w:rsidRPr="00D5094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Financeiras</w:t>
            </w:r>
            <w:r w:rsidRPr="00D5094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 exercício,</w:t>
            </w:r>
            <w:r w:rsidRPr="00D5094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contendo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Parecer</w:t>
            </w:r>
            <w:r w:rsidRPr="00D5094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Auditores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Independentes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    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Conselhos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Fiscal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Administração,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caso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existam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(Inciso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II</w:t>
            </w:r>
          </w:p>
          <w:p w:rsidR="00FF6B40" w:rsidRPr="00D50946" w:rsidRDefault="00D7196A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art.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133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Lei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6.404/76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posteriores).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F" w:rsidRPr="00D50946" w:rsidRDefault="00A83E7F" w:rsidP="00D50946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Parecer</w:t>
            </w:r>
            <w:r w:rsidRPr="00D50946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dos</w:t>
            </w:r>
            <w:r w:rsidRPr="00D5094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Auditores</w:t>
            </w:r>
            <w:r w:rsidRPr="00D5094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Independentes,</w:t>
            </w:r>
            <w:r w:rsidRPr="00D5094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obrigatório</w:t>
            </w:r>
            <w:r w:rsidRPr="00D5094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para empresas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grande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porte,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ainda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que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não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constituídas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sob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</w:t>
            </w:r>
            <w:r w:rsidRPr="00D50946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forma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seociedades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por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ações,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conforme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parágrafo</w:t>
            </w:r>
            <w:r w:rsidRPr="00D50946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único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e</w:t>
            </w:r>
          </w:p>
          <w:p w:rsidR="00FF6B40" w:rsidRPr="00D50946" w:rsidRDefault="00A83E7F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D50946">
              <w:rPr>
                <w:rFonts w:ascii="Times New Roman" w:hAnsi="Times New Roman" w:cs="Times New Roman"/>
                <w:w w:val="90"/>
              </w:rPr>
              <w:t>artigo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3º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da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Lei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nº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11.638/2007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e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>alterações</w:t>
            </w:r>
            <w:r w:rsidRPr="00D50946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0"/>
              </w:rPr>
              <w:t xml:space="preserve">posteriores.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A83E7F" w:rsidP="00D50946">
            <w:pPr>
              <w:widowControl w:val="0"/>
              <w:tabs>
                <w:tab w:val="left" w:pos="714"/>
                <w:tab w:val="left" w:pos="4168"/>
              </w:tabs>
              <w:autoSpaceDE w:val="0"/>
              <w:autoSpaceDN w:val="0"/>
              <w:spacing w:before="1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Cópia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publicação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Relatório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Administração</w:t>
            </w:r>
            <w:r w:rsidRPr="00D5094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(Inciso</w:t>
            </w:r>
            <w:r w:rsidRPr="00D5094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I</w:t>
            </w:r>
            <w:r w:rsidRPr="00D50946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spacing w:val="-1"/>
                <w:w w:val="95"/>
              </w:rPr>
              <w:t xml:space="preserve">do </w:t>
            </w:r>
            <w:r w:rsidRPr="00D50946">
              <w:rPr>
                <w:rFonts w:ascii="Times New Roman" w:hAnsi="Times New Roman" w:cs="Times New Roman"/>
                <w:w w:val="95"/>
              </w:rPr>
              <w:t>art. 133 da Lei 6.404/76 e alterações posteriores), quando</w:t>
            </w:r>
            <w:r w:rsidRPr="00D50946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</w:rPr>
              <w:t>cabível.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D50946" w:rsidP="00D50946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Composição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Acionária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do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Capital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Social,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no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caso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S/A.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FF6B40" w:rsidRPr="002E7B7E" w:rsidTr="00A83E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40" w:rsidRPr="002E7B7E" w:rsidRDefault="00FF6B40" w:rsidP="00A83E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D50946" w:rsidRDefault="00D50946" w:rsidP="00D50946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val="pt-PT"/>
              </w:rPr>
            </w:pPr>
            <w:r w:rsidRPr="00D50946">
              <w:rPr>
                <w:rFonts w:ascii="Times New Roman" w:hAnsi="Times New Roman" w:cs="Times New Roman"/>
                <w:w w:val="95"/>
              </w:rPr>
              <w:t>Demonstrativo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das</w:t>
            </w:r>
            <w:r w:rsidRPr="00D5094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Responsabilidades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não</w:t>
            </w:r>
            <w:r w:rsidRPr="00D5094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Regularizadas,</w:t>
            </w:r>
            <w:r w:rsidRPr="00D50946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conforme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Modelo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7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da</w:t>
            </w:r>
            <w:r w:rsidRPr="00D50946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Deliberação</w:t>
            </w:r>
            <w:r w:rsidRPr="00D50946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50946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FF6B40" w:rsidRPr="002E7B7E" w:rsidRDefault="00FF6B40" w:rsidP="00FF6B40"/>
    <w:p w:rsidR="00FF6B40" w:rsidRPr="002E7B7E" w:rsidRDefault="00FF6B40" w:rsidP="00FF6B40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FF6B40" w:rsidRPr="002E7B7E" w:rsidRDefault="00FF6B40" w:rsidP="00A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FF6B40" w:rsidRPr="002E7B7E" w:rsidRDefault="00FF6B40" w:rsidP="00A83E7F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FF6B40" w:rsidRPr="002E7B7E" w:rsidRDefault="00FF6B40" w:rsidP="00A83E7F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FF6B40" w:rsidRPr="002E7B7E" w:rsidRDefault="00FF6B40" w:rsidP="00A83E7F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</w:tbl>
    <w:p w:rsidR="00FF6B40" w:rsidRPr="002E7B7E" w:rsidRDefault="00FF6B40" w:rsidP="00FF6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B40" w:rsidRPr="002E7B7E" w:rsidRDefault="00FF6B40" w:rsidP="00FF6B4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FF6B40" w:rsidRPr="002E7B7E" w:rsidRDefault="00FF6B40" w:rsidP="00FF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FF6B40" w:rsidRPr="002E7B7E" w:rsidTr="00A83E7F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F6B40" w:rsidRPr="002E7B7E" w:rsidTr="00A83E7F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  <w:tr w:rsidR="00FF6B40" w:rsidRPr="002E7B7E" w:rsidTr="00A83E7F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B40" w:rsidRPr="002E7B7E" w:rsidRDefault="00FF6B40" w:rsidP="00A83E7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B40" w:rsidRPr="002E7B7E" w:rsidRDefault="00FF6B40" w:rsidP="00A83E7F">
            <w:pPr>
              <w:spacing w:after="0"/>
            </w:pPr>
          </w:p>
        </w:tc>
      </w:tr>
    </w:tbl>
    <w:p w:rsidR="00FF6B40" w:rsidRPr="002E7B7E" w:rsidRDefault="00FF6B40" w:rsidP="00FF6B40">
      <w:r w:rsidRPr="002E7B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F6B40" w:rsidRPr="002E7B7E" w:rsidRDefault="00FF6B40" w:rsidP="00FF6B40">
      <w:pPr>
        <w:tabs>
          <w:tab w:val="left" w:pos="1764"/>
        </w:tabs>
      </w:pPr>
      <w:r w:rsidRPr="002E7B7E">
        <w:tab/>
      </w:r>
    </w:p>
    <w:p w:rsidR="00FF6B40" w:rsidRPr="002E7B7E" w:rsidRDefault="00FF6B40" w:rsidP="00FF6B40"/>
    <w:p w:rsidR="00FF6B40" w:rsidRPr="002E7B7E" w:rsidRDefault="00FF6B40" w:rsidP="00FF6B40"/>
    <w:p w:rsidR="00272244" w:rsidRDefault="00272244"/>
    <w:sectPr w:rsidR="00272244" w:rsidSect="00A83E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E3" w:rsidRDefault="00723DE3" w:rsidP="00FF6B40">
      <w:pPr>
        <w:spacing w:after="0" w:line="240" w:lineRule="auto"/>
      </w:pPr>
      <w:r>
        <w:separator/>
      </w:r>
    </w:p>
  </w:endnote>
  <w:endnote w:type="continuationSeparator" w:id="0">
    <w:p w:rsidR="00723DE3" w:rsidRDefault="00723DE3" w:rsidP="00FF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A83E7F" w:rsidRDefault="00820D1A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35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E7F" w:rsidRDefault="00A83E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E3" w:rsidRDefault="00723DE3" w:rsidP="00FF6B40">
      <w:pPr>
        <w:spacing w:after="0" w:line="240" w:lineRule="auto"/>
      </w:pPr>
      <w:r>
        <w:separator/>
      </w:r>
    </w:p>
  </w:footnote>
  <w:footnote w:type="continuationSeparator" w:id="0">
    <w:p w:rsidR="00723DE3" w:rsidRDefault="00723DE3" w:rsidP="00FF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7F" w:rsidRDefault="00A83E7F">
    <w:pPr>
      <w:pStyle w:val="Cabealho"/>
    </w:pPr>
  </w:p>
  <w:tbl>
    <w:tblPr>
      <w:tblW w:w="18428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740"/>
      <w:gridCol w:w="16688"/>
    </w:tblGrid>
    <w:tr w:rsidR="00A83E7F" w:rsidRPr="0074224B" w:rsidTr="00FF6B40">
      <w:trPr>
        <w:trHeight w:val="72"/>
      </w:trPr>
      <w:tc>
        <w:tcPr>
          <w:tcW w:w="1740" w:type="dxa"/>
          <w:tcBorders>
            <w:top w:val="nil"/>
            <w:left w:val="nil"/>
            <w:bottom w:val="nil"/>
            <w:right w:val="nil"/>
          </w:tcBorders>
        </w:tcPr>
        <w:p w:rsidR="00A83E7F" w:rsidRPr="0074224B" w:rsidRDefault="00A83E7F" w:rsidP="00A83E7F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84455</wp:posOffset>
                </wp:positionV>
                <wp:extent cx="809625" cy="809625"/>
                <wp:effectExtent l="19050" t="0" r="9525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88" w:type="dxa"/>
          <w:tcBorders>
            <w:top w:val="nil"/>
            <w:left w:val="nil"/>
            <w:bottom w:val="nil"/>
            <w:right w:val="nil"/>
          </w:tcBorders>
        </w:tcPr>
        <w:p w:rsidR="00A83E7F" w:rsidRPr="0074224B" w:rsidRDefault="00A83E7F" w:rsidP="00A83E7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A83E7F" w:rsidRPr="0074224B" w:rsidRDefault="00A83E7F" w:rsidP="00A83E7F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A83E7F" w:rsidRPr="0074224B" w:rsidRDefault="00A83E7F" w:rsidP="00A83E7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Controladoria Geral do Município</w:t>
          </w:r>
        </w:p>
      </w:tc>
    </w:tr>
  </w:tbl>
  <w:p w:rsidR="00A83E7F" w:rsidRDefault="00A83E7F">
    <w:pPr>
      <w:pStyle w:val="Cabealho"/>
    </w:pPr>
  </w:p>
  <w:p w:rsidR="00A83E7F" w:rsidRDefault="00A83E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A26"/>
    <w:multiLevelType w:val="multilevel"/>
    <w:tmpl w:val="1BE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68F6"/>
    <w:multiLevelType w:val="multilevel"/>
    <w:tmpl w:val="54DE1FB4"/>
    <w:lvl w:ilvl="0">
      <w:start w:val="19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2" w15:restartNumberingAfterBreak="0">
    <w:nsid w:val="1215621E"/>
    <w:multiLevelType w:val="multilevel"/>
    <w:tmpl w:val="9C1EC062"/>
    <w:lvl w:ilvl="0">
      <w:start w:val="2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abstractNum w:abstractNumId="3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14DF7"/>
    <w:multiLevelType w:val="multilevel"/>
    <w:tmpl w:val="A8240596"/>
    <w:lvl w:ilvl="0">
      <w:start w:val="10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6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62326"/>
    <w:multiLevelType w:val="hybridMultilevel"/>
    <w:tmpl w:val="449EBCC2"/>
    <w:lvl w:ilvl="0" w:tplc="D132EC40">
      <w:start w:val="24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00842A7C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2A7077EA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BF48BB18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141E23AC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C1AC5F5C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B81EF030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05248BB0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64EC2B18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9" w15:restartNumberingAfterBreak="0">
    <w:nsid w:val="55BF47E0"/>
    <w:multiLevelType w:val="hybridMultilevel"/>
    <w:tmpl w:val="1F8A381A"/>
    <w:lvl w:ilvl="0" w:tplc="A014CD34">
      <w:start w:val="37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D966CB04">
      <w:numFmt w:val="bullet"/>
      <w:lvlText w:val="•"/>
      <w:lvlJc w:val="left"/>
      <w:pPr>
        <w:ind w:left="1639" w:hanging="304"/>
      </w:pPr>
      <w:rPr>
        <w:rFonts w:hint="default"/>
        <w:lang w:val="pt-PT" w:eastAsia="en-US" w:bidi="ar-SA"/>
      </w:rPr>
    </w:lvl>
    <w:lvl w:ilvl="2" w:tplc="F4E6E2DA">
      <w:numFmt w:val="bullet"/>
      <w:lvlText w:val="•"/>
      <w:lvlJc w:val="left"/>
      <w:pPr>
        <w:ind w:left="2559" w:hanging="304"/>
      </w:pPr>
      <w:rPr>
        <w:rFonts w:hint="default"/>
        <w:lang w:val="pt-PT" w:eastAsia="en-US" w:bidi="ar-SA"/>
      </w:rPr>
    </w:lvl>
    <w:lvl w:ilvl="3" w:tplc="85FCBD60">
      <w:numFmt w:val="bullet"/>
      <w:lvlText w:val="•"/>
      <w:lvlJc w:val="left"/>
      <w:pPr>
        <w:ind w:left="3479" w:hanging="304"/>
      </w:pPr>
      <w:rPr>
        <w:rFonts w:hint="default"/>
        <w:lang w:val="pt-PT" w:eastAsia="en-US" w:bidi="ar-SA"/>
      </w:rPr>
    </w:lvl>
    <w:lvl w:ilvl="4" w:tplc="C194F406">
      <w:numFmt w:val="bullet"/>
      <w:lvlText w:val="•"/>
      <w:lvlJc w:val="left"/>
      <w:pPr>
        <w:ind w:left="4399" w:hanging="304"/>
      </w:pPr>
      <w:rPr>
        <w:rFonts w:hint="default"/>
        <w:lang w:val="pt-PT" w:eastAsia="en-US" w:bidi="ar-SA"/>
      </w:rPr>
    </w:lvl>
    <w:lvl w:ilvl="5" w:tplc="0A606342">
      <w:numFmt w:val="bullet"/>
      <w:lvlText w:val="•"/>
      <w:lvlJc w:val="left"/>
      <w:pPr>
        <w:ind w:left="5319" w:hanging="304"/>
      </w:pPr>
      <w:rPr>
        <w:rFonts w:hint="default"/>
        <w:lang w:val="pt-PT" w:eastAsia="en-US" w:bidi="ar-SA"/>
      </w:rPr>
    </w:lvl>
    <w:lvl w:ilvl="6" w:tplc="4A0292E0">
      <w:numFmt w:val="bullet"/>
      <w:lvlText w:val="•"/>
      <w:lvlJc w:val="left"/>
      <w:pPr>
        <w:ind w:left="6239" w:hanging="304"/>
      </w:pPr>
      <w:rPr>
        <w:rFonts w:hint="default"/>
        <w:lang w:val="pt-PT" w:eastAsia="en-US" w:bidi="ar-SA"/>
      </w:rPr>
    </w:lvl>
    <w:lvl w:ilvl="7" w:tplc="3AE49760">
      <w:numFmt w:val="bullet"/>
      <w:lvlText w:val="•"/>
      <w:lvlJc w:val="left"/>
      <w:pPr>
        <w:ind w:left="7159" w:hanging="304"/>
      </w:pPr>
      <w:rPr>
        <w:rFonts w:hint="default"/>
        <w:lang w:val="pt-PT" w:eastAsia="en-US" w:bidi="ar-SA"/>
      </w:rPr>
    </w:lvl>
    <w:lvl w:ilvl="8" w:tplc="B25ACB60">
      <w:numFmt w:val="bullet"/>
      <w:lvlText w:val="•"/>
      <w:lvlJc w:val="left"/>
      <w:pPr>
        <w:ind w:left="8079" w:hanging="304"/>
      </w:pPr>
      <w:rPr>
        <w:rFonts w:hint="default"/>
        <w:lang w:val="pt-PT" w:eastAsia="en-US" w:bidi="ar-SA"/>
      </w:rPr>
    </w:lvl>
  </w:abstractNum>
  <w:abstractNum w:abstractNumId="10" w15:restartNumberingAfterBreak="0">
    <w:nsid w:val="58574D8C"/>
    <w:multiLevelType w:val="hybridMultilevel"/>
    <w:tmpl w:val="92065B52"/>
    <w:lvl w:ilvl="0" w:tplc="CF5A4FB4">
      <w:start w:val="26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15BE7F7C">
      <w:numFmt w:val="bullet"/>
      <w:lvlText w:val="•"/>
      <w:lvlJc w:val="left"/>
      <w:pPr>
        <w:ind w:left="1605" w:hanging="304"/>
      </w:pPr>
      <w:rPr>
        <w:rFonts w:hint="default"/>
        <w:lang w:val="pt-PT" w:eastAsia="en-US" w:bidi="ar-SA"/>
      </w:rPr>
    </w:lvl>
    <w:lvl w:ilvl="2" w:tplc="5906A8E6">
      <w:numFmt w:val="bullet"/>
      <w:lvlText w:val="•"/>
      <w:lvlJc w:val="left"/>
      <w:pPr>
        <w:ind w:left="2491" w:hanging="304"/>
      </w:pPr>
      <w:rPr>
        <w:rFonts w:hint="default"/>
        <w:lang w:val="pt-PT" w:eastAsia="en-US" w:bidi="ar-SA"/>
      </w:rPr>
    </w:lvl>
    <w:lvl w:ilvl="3" w:tplc="F874FCEA">
      <w:numFmt w:val="bullet"/>
      <w:lvlText w:val="•"/>
      <w:lvlJc w:val="left"/>
      <w:pPr>
        <w:ind w:left="3377" w:hanging="304"/>
      </w:pPr>
      <w:rPr>
        <w:rFonts w:hint="default"/>
        <w:lang w:val="pt-PT" w:eastAsia="en-US" w:bidi="ar-SA"/>
      </w:rPr>
    </w:lvl>
    <w:lvl w:ilvl="4" w:tplc="466ADB16">
      <w:numFmt w:val="bullet"/>
      <w:lvlText w:val="•"/>
      <w:lvlJc w:val="left"/>
      <w:pPr>
        <w:ind w:left="4263" w:hanging="304"/>
      </w:pPr>
      <w:rPr>
        <w:rFonts w:hint="default"/>
        <w:lang w:val="pt-PT" w:eastAsia="en-US" w:bidi="ar-SA"/>
      </w:rPr>
    </w:lvl>
    <w:lvl w:ilvl="5" w:tplc="70D2BFF8">
      <w:numFmt w:val="bullet"/>
      <w:lvlText w:val="•"/>
      <w:lvlJc w:val="left"/>
      <w:pPr>
        <w:ind w:left="5149" w:hanging="304"/>
      </w:pPr>
      <w:rPr>
        <w:rFonts w:hint="default"/>
        <w:lang w:val="pt-PT" w:eastAsia="en-US" w:bidi="ar-SA"/>
      </w:rPr>
    </w:lvl>
    <w:lvl w:ilvl="6" w:tplc="3056D43A">
      <w:numFmt w:val="bullet"/>
      <w:lvlText w:val="•"/>
      <w:lvlJc w:val="left"/>
      <w:pPr>
        <w:ind w:left="6035" w:hanging="304"/>
      </w:pPr>
      <w:rPr>
        <w:rFonts w:hint="default"/>
        <w:lang w:val="pt-PT" w:eastAsia="en-US" w:bidi="ar-SA"/>
      </w:rPr>
    </w:lvl>
    <w:lvl w:ilvl="7" w:tplc="301E569E">
      <w:numFmt w:val="bullet"/>
      <w:lvlText w:val="•"/>
      <w:lvlJc w:val="left"/>
      <w:pPr>
        <w:ind w:left="6921" w:hanging="304"/>
      </w:pPr>
      <w:rPr>
        <w:rFonts w:hint="default"/>
        <w:lang w:val="pt-PT" w:eastAsia="en-US" w:bidi="ar-SA"/>
      </w:rPr>
    </w:lvl>
    <w:lvl w:ilvl="8" w:tplc="45042E9E">
      <w:numFmt w:val="bullet"/>
      <w:lvlText w:val="•"/>
      <w:lvlJc w:val="left"/>
      <w:pPr>
        <w:ind w:left="7807" w:hanging="304"/>
      </w:pPr>
      <w:rPr>
        <w:rFonts w:hint="default"/>
        <w:lang w:val="pt-PT" w:eastAsia="en-US" w:bidi="ar-SA"/>
      </w:rPr>
    </w:lvl>
  </w:abstractNum>
  <w:abstractNum w:abstractNumId="11" w15:restartNumberingAfterBreak="0">
    <w:nsid w:val="61D44B33"/>
    <w:multiLevelType w:val="multilevel"/>
    <w:tmpl w:val="8B56EBF2"/>
    <w:lvl w:ilvl="0">
      <w:start w:val="36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12" w15:restartNumberingAfterBreak="0">
    <w:nsid w:val="6E4F0D82"/>
    <w:multiLevelType w:val="hybridMultilevel"/>
    <w:tmpl w:val="C8B0B66C"/>
    <w:lvl w:ilvl="0" w:tplc="D8A48B18">
      <w:start w:val="22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9FC8623A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B440B0B6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B45CBEC2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AC24872A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CB8C6E80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A0E26AB8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9DFEA5A0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61D834FC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abstractNum w:abstractNumId="13" w15:restartNumberingAfterBreak="0">
    <w:nsid w:val="6E8F43B4"/>
    <w:multiLevelType w:val="hybridMultilevel"/>
    <w:tmpl w:val="1B46D0B2"/>
    <w:lvl w:ilvl="0" w:tplc="F85A5C86">
      <w:start w:val="11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E042DEEE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FC501C74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DC42764A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94C4C3C8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8B5009DE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0C7679A4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FB4655F6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3D1499B6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14" w15:restartNumberingAfterBreak="0">
    <w:nsid w:val="779C7E9C"/>
    <w:multiLevelType w:val="multilevel"/>
    <w:tmpl w:val="ACB29EBE"/>
    <w:lvl w:ilvl="0">
      <w:start w:val="3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54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22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6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24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9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58" w:hanging="4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B40"/>
    <w:rsid w:val="0006664E"/>
    <w:rsid w:val="00182954"/>
    <w:rsid w:val="00272244"/>
    <w:rsid w:val="00416385"/>
    <w:rsid w:val="00423219"/>
    <w:rsid w:val="00456AE4"/>
    <w:rsid w:val="004E2398"/>
    <w:rsid w:val="00557FC1"/>
    <w:rsid w:val="00697553"/>
    <w:rsid w:val="00723DE3"/>
    <w:rsid w:val="00820D1A"/>
    <w:rsid w:val="00864F49"/>
    <w:rsid w:val="00886512"/>
    <w:rsid w:val="008942E9"/>
    <w:rsid w:val="008A0E58"/>
    <w:rsid w:val="00A10AE1"/>
    <w:rsid w:val="00A83E7F"/>
    <w:rsid w:val="00B435E5"/>
    <w:rsid w:val="00BC5CAD"/>
    <w:rsid w:val="00C213E9"/>
    <w:rsid w:val="00D50946"/>
    <w:rsid w:val="00D7196A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9A5F-F479-4E4E-A8DC-F132A60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6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B40"/>
  </w:style>
  <w:style w:type="paragraph" w:styleId="Rodap">
    <w:name w:val="footer"/>
    <w:basedOn w:val="Normal"/>
    <w:link w:val="RodapChar"/>
    <w:uiPriority w:val="99"/>
    <w:unhideWhenUsed/>
    <w:rsid w:val="00FF6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B40"/>
  </w:style>
  <w:style w:type="paragraph" w:styleId="Corpodetexto">
    <w:name w:val="Body Text"/>
    <w:basedOn w:val="Normal"/>
    <w:link w:val="CorpodetextoChar"/>
    <w:uiPriority w:val="1"/>
    <w:unhideWhenUsed/>
    <w:qFormat/>
    <w:rsid w:val="00FF6B4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F6B40"/>
    <w:rPr>
      <w:rFonts w:ascii="Tahoma" w:eastAsia="Tahoma" w:hAnsi="Tahoma" w:cs="Tahoma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6B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6B40"/>
    <w:pPr>
      <w:widowControl w:val="0"/>
      <w:autoSpaceDE w:val="0"/>
      <w:autoSpaceDN w:val="0"/>
      <w:spacing w:before="1" w:after="0" w:line="240" w:lineRule="auto"/>
    </w:pPr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qFormat/>
    <w:rsid w:val="00FF6B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2362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17</cp:revision>
  <cp:lastPrinted>2024-07-23T13:44:00Z</cp:lastPrinted>
  <dcterms:created xsi:type="dcterms:W3CDTF">2023-05-19T16:31:00Z</dcterms:created>
  <dcterms:modified xsi:type="dcterms:W3CDTF">2024-07-23T13:45:00Z</dcterms:modified>
</cp:coreProperties>
</file>