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F4" w:rsidRPr="002E7B7E" w:rsidRDefault="00A31BF4" w:rsidP="00A31B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A31BF4" w:rsidRPr="002E7B7E" w:rsidRDefault="00A31BF4" w:rsidP="00A31BF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A31BF4" w:rsidRDefault="004253B6" w:rsidP="00425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</w:pPr>
      <w:r w:rsidRPr="004253B6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OMISSÃO NO DEVER DE PRESTAR CONTAS ANUAIS DE GESTÃO – REGIME PRÓPRIO DE PREVIDÊNCIA SOCIAL – RPPS</w:t>
      </w:r>
    </w:p>
    <w:p w:rsidR="004253B6" w:rsidRPr="004253B6" w:rsidRDefault="004253B6" w:rsidP="0042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bookmarkStart w:id="0" w:name="_GoBack"/>
      <w:bookmarkEnd w:id="0"/>
    </w:p>
    <w:p w:rsidR="00A31BF4" w:rsidRPr="002E7B7E" w:rsidRDefault="00A31BF4" w:rsidP="00A31BF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A31BF4" w:rsidRPr="002E7B7E" w:rsidRDefault="00A31BF4" w:rsidP="00A31BF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A31BF4" w:rsidRPr="002E7B7E" w:rsidRDefault="00A31BF4" w:rsidP="00A31BF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A31BF4" w:rsidRPr="002E7B7E" w:rsidRDefault="00A31BF4" w:rsidP="00A31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1BF4" w:rsidRPr="002E7B7E" w:rsidRDefault="00A31BF4" w:rsidP="00A31BF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A31BF4" w:rsidRPr="002E7B7E" w:rsidRDefault="00A31BF4" w:rsidP="00A3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C314EC" w:rsidRPr="002E7B7E" w:rsidTr="00C125A0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EC" w:rsidRPr="002E7B7E" w:rsidRDefault="00C314EC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C314EC" w:rsidRPr="002E7B7E" w:rsidRDefault="00C314EC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4253B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C314EC" w:rsidRPr="002E7B7E" w:rsidRDefault="00C314EC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C314EC" w:rsidRPr="002E7B7E" w:rsidRDefault="00C314EC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C314EC" w:rsidRPr="002E7B7E" w:rsidRDefault="00C314EC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A31BF4" w:rsidRPr="002E7B7E" w:rsidRDefault="00A31BF4" w:rsidP="00A3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BF4" w:rsidRPr="002E7B7E" w:rsidRDefault="00A31BF4" w:rsidP="00A3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A31BF4" w:rsidRPr="002E7B7E" w:rsidRDefault="00A31BF4" w:rsidP="00A31BF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A31BF4" w:rsidRPr="002E7B7E" w:rsidRDefault="00A31BF4" w:rsidP="00A31BF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A31BF4" w:rsidRPr="002E7B7E" w:rsidRDefault="00A31BF4" w:rsidP="00A31BF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A31BF4" w:rsidRPr="002E7B7E" w:rsidRDefault="00A31BF4" w:rsidP="00A31BF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A31BF4" w:rsidRPr="002E7B7E" w:rsidRDefault="00A31BF4" w:rsidP="00A31BF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A31BF4" w:rsidRPr="002E7B7E" w:rsidRDefault="00A31BF4" w:rsidP="00A31BF4">
      <w:pPr>
        <w:numPr>
          <w:ilvl w:val="0"/>
          <w:numId w:val="4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(art. 3º Deliberação nº 279 e art. 4º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 6º da Deliberação nº 279 e arts.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</w:tbl>
    <w:p w:rsidR="00A31BF4" w:rsidRPr="002E7B7E" w:rsidRDefault="00A31BF4" w:rsidP="00A3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BF4" w:rsidRPr="002E7B7E" w:rsidRDefault="00A31BF4" w:rsidP="00A31BF4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A31BF4" w:rsidRPr="002E7B7E" w:rsidTr="00C12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 datas dos lançamentos no demonstrativo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A31BF4" w:rsidRPr="002E7B7E" w:rsidTr="00C125A0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</w:tbl>
    <w:p w:rsidR="00A31BF4" w:rsidRPr="002E7B7E" w:rsidRDefault="00A31BF4" w:rsidP="00A31BF4">
      <w:pPr>
        <w:rPr>
          <w:rFonts w:ascii="Times New Roman" w:hAnsi="Times New Roman" w:cs="Times New Roman"/>
        </w:rPr>
      </w:pPr>
    </w:p>
    <w:p w:rsidR="00A31BF4" w:rsidRPr="002E7B7E" w:rsidRDefault="00A31BF4" w:rsidP="00A31BF4">
      <w:pPr>
        <w:pStyle w:val="PargrafodaLista"/>
        <w:numPr>
          <w:ilvl w:val="1"/>
          <w:numId w:val="2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A31BF4" w:rsidRPr="002E7B7E" w:rsidRDefault="00A31BF4" w:rsidP="00A31BF4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OMISSÃO NO DEVER DE PRESTAR CONTAS ANUAIS </w:t>
      </w:r>
      <w:r w:rsidR="000550A2">
        <w:rPr>
          <w:rFonts w:ascii="Times New Roman" w:hAnsi="Times New Roman" w:cs="Times New Roman"/>
          <w:b/>
          <w:lang w:eastAsia="pt-BR"/>
        </w:rPr>
        <w:t>DE GESTÃO – REGIME PRÓPRIO DE PREVIDÊNCIA SOCIAL – RPPS (</w:t>
      </w:r>
      <w:r w:rsidRPr="002E7B7E">
        <w:rPr>
          <w:rFonts w:ascii="Times New Roman" w:hAnsi="Times New Roman" w:cs="Times New Roman"/>
          <w:b/>
          <w:lang w:eastAsia="pt-BR"/>
        </w:rPr>
        <w:t>Art. 2º. Inc I, c/c Art. 8 § único da Del. 279/2017)</w:t>
      </w:r>
      <w:r w:rsidR="000550A2"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55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Cadastros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responsáveis,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1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 xml:space="preserve">277/17: do responsável </w:t>
            </w:r>
            <w:r w:rsidR="00F46C4F" w:rsidRPr="000550A2">
              <w:rPr>
                <w:rFonts w:ascii="Times New Roman" w:hAnsi="Times New Roman" w:cs="Times New Roman"/>
                <w:w w:val="95"/>
              </w:rPr>
              <w:t>pelo encaminhamento das</w:t>
            </w:r>
            <w:r w:rsidRPr="000550A2">
              <w:rPr>
                <w:rFonts w:ascii="Times New Roman" w:hAnsi="Times New Roman" w:cs="Times New Roman"/>
                <w:w w:val="95"/>
              </w:rPr>
              <w:t xml:space="preserve"> contas; do responsável pelo setor contábil; do responsável pela Unidade Central de Controle Interno; de outros responsáveis, de acordo com o §3º  e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Balancete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Analítico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evidenciando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saldo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inicial,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os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créditos</w:t>
            </w:r>
            <w:r w:rsidRPr="000550A2">
              <w:rPr>
                <w:rFonts w:ascii="Times New Roman" w:hAnsi="Times New Roman" w:cs="Times New Roman"/>
              </w:rPr>
              <w:tab/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débitos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saldo</w:t>
            </w:r>
            <w:r w:rsidRPr="000550A2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final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em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31/12.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Comparativo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Receita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Orçada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Arrecadada,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com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Anexo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10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da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LF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nº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Comparativo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Despesa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Autorizada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Realizada,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acordo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com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Anexo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11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da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LF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nº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Demonstração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Variações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Patrimoniais,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MCASP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vigente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no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em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Balanço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Orçamentário,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MCASP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vigente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análise,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acompanhado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quadros: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-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execução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F46C4F" w:rsidRPr="000550A2">
              <w:rPr>
                <w:rFonts w:ascii="Times New Roman" w:hAnsi="Times New Roman" w:cs="Times New Roman"/>
                <w:spacing w:val="-1"/>
                <w:w w:val="95"/>
              </w:rPr>
              <w:t>Restos a Pagar n</w:t>
            </w:r>
            <w:r w:rsidRPr="000550A2">
              <w:rPr>
                <w:rFonts w:ascii="Times New Roman" w:hAnsi="Times New Roman" w:cs="Times New Roman"/>
                <w:spacing w:val="-1"/>
                <w:w w:val="95"/>
              </w:rPr>
              <w:t xml:space="preserve">ão Processados; </w:t>
            </w:r>
            <w:r w:rsidRPr="000550A2">
              <w:rPr>
                <w:rFonts w:ascii="Times New Roman" w:hAnsi="Times New Roman" w:cs="Times New Roman"/>
                <w:w w:val="95"/>
              </w:rPr>
              <w:t>- execução de Restos a Pagar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Processados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Liquidados.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Balanço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Financeiro,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MCASP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vigente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</w:t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em</w:t>
            </w:r>
            <w:r w:rsidRPr="000550A2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análise</w:t>
            </w:r>
            <w:r w:rsidR="00F46C4F" w:rsidRPr="000550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Balanço Patrimonial, de acordo com o MCASP vigente no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análise,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acompanhado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quadros: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-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ativos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passivos financeiros e permanentes; - das contas de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compensação;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-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superávit/déficit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financeiro.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Demonstração</w:t>
            </w:r>
            <w:r w:rsidRPr="000550A2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Fluxos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Caixa,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</w:rPr>
              <w:t xml:space="preserve"> MCASP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vigente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no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em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Notas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Explicativas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às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Demonstrações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Contábeis,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na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forma</w:t>
            </w:r>
            <w:r w:rsidRPr="000550A2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estabelecida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MCASP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vigente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Dívida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Flutuante,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Anexo</w:t>
            </w:r>
            <w:r w:rsidRPr="000550A2">
              <w:rPr>
                <w:rFonts w:ascii="Times New Roman" w:hAnsi="Times New Roman" w:cs="Times New Roman"/>
              </w:rPr>
              <w:tab/>
            </w:r>
            <w:r w:rsidRPr="000550A2">
              <w:rPr>
                <w:rFonts w:ascii="Times New Roman" w:hAnsi="Times New Roman" w:cs="Times New Roman"/>
                <w:w w:val="90"/>
              </w:rPr>
              <w:t>17</w:t>
            </w:r>
            <w:r w:rsidRPr="000550A2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da</w:t>
            </w:r>
            <w:r w:rsidRPr="000550A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LF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nº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Dívida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Fundada,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Anexo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0550A2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0550A2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0550A2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4.320/64.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0550A2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50A2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  <w:position w:val="2"/>
                <w:sz w:val="22"/>
                <w:szCs w:val="22"/>
              </w:rPr>
              <w:t xml:space="preserve">                                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0550A2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0550A2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0550A2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Quadro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Auxiliar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Disponibilidades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Financeiras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Quadros</w:t>
            </w:r>
            <w:r w:rsidRPr="000550A2">
              <w:rPr>
                <w:rFonts w:ascii="Times New Roman" w:hAnsi="Times New Roman" w:cs="Times New Roman"/>
                <w:w w:val="90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1</w:t>
            </w:r>
            <w:r w:rsidRPr="000550A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e</w:t>
            </w:r>
            <w:r w:rsidRPr="000550A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2,</w:t>
            </w:r>
            <w:r w:rsidRPr="000550A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Modelo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da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Interno, com conteúdo mínimo previsto no Modelo 3C da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277/17,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além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outros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considerados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abordagem baseada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risco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definição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escopo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auditoria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 xml:space="preserve">da </w:t>
            </w:r>
            <w:r w:rsidRPr="000550A2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0550A2">
              <w:rPr>
                <w:rFonts w:ascii="Times New Roman" w:hAnsi="Times New Roman" w:cs="Times New Roman"/>
                <w:w w:val="95"/>
              </w:rPr>
              <w:t>natureza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extensão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procedimentos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aplicados, acompanhado de Certificado de Auditoria, com parecer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conclusivo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sobre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</w:t>
            </w:r>
            <w:r w:rsidRPr="000550A2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regularidade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ou</w:t>
            </w:r>
            <w:r w:rsidRPr="000550A2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irregularidade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contas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responsáveis.</w:t>
            </w:r>
          </w:p>
          <w:p w:rsidR="00A31BF4" w:rsidRPr="000550A2" w:rsidRDefault="00A31BF4" w:rsidP="000550A2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0550A2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saneamento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irregularidades,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caso</w:t>
            </w:r>
            <w:r w:rsidRPr="000550A2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encontradas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relatório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auditoria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realizada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controle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A31BF4" w:rsidP="000550A2">
            <w:pPr>
              <w:widowControl w:val="0"/>
              <w:tabs>
                <w:tab w:val="left" w:pos="714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Relatório</w:t>
            </w:r>
            <w:r w:rsidRPr="000550A2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responsável</w:t>
            </w:r>
            <w:r w:rsidRPr="000550A2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pelo</w:t>
            </w:r>
            <w:r w:rsidRPr="000550A2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setor</w:t>
            </w:r>
            <w:r w:rsidRPr="000550A2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contábil,</w:t>
            </w:r>
            <w:r w:rsidRPr="000550A2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Modelo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4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da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277/17.</w:t>
            </w:r>
          </w:p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0550A2" w:rsidRDefault="00A31BF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</w:t>
            </w:r>
            <w:r w:rsidRPr="000550A2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Responsabilidades</w:t>
            </w:r>
            <w:r w:rsidRPr="000550A2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não</w:t>
            </w:r>
            <w:r w:rsidRPr="000550A2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Regularizadas,</w:t>
            </w:r>
            <w:r w:rsidRPr="000550A2">
              <w:rPr>
                <w:rFonts w:ascii="Times New Roman" w:hAnsi="Times New Roman" w:cs="Times New Roman"/>
              </w:rPr>
              <w:t xml:space="preserve"> conforme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Modelo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7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da</w:t>
            </w:r>
            <w:r w:rsidRPr="000550A2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127594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Cópia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Lei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criação</w:t>
            </w:r>
            <w:r w:rsidRPr="000550A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previdenciária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atualizada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BF1F03" w:rsidP="000550A2">
            <w:pPr>
              <w:widowControl w:val="0"/>
              <w:tabs>
                <w:tab w:val="left" w:pos="714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Relação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Unidades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Gestoras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ente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devem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contribuir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para</w:t>
            </w:r>
            <w:r w:rsidRPr="000550A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RPPS,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tendo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por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competência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em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análise,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8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526A39" w:rsidP="000550A2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 das contribuições (dos servidores 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patronal) devidas e efetivamente repassadas no exercício,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segregado também por órgão contribuinte (um quadro para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cada UG) e um consolidado dos Poderes (Executivo 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Legislativo),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9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10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07114F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val="pt-PT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evidenciando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montante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contribuições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patronais e retidas dos segurados em atraso, que deveriam ter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sido repassadas tempestivamente pelo ente, não incluídas em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parcelamento de débitos, segregado também por órgão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contribuinte, detalhando os valores originais por mês de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competência e os encargos moratórios atualizados até 31/12,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11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EA6BD0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Cópia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Leis</w:t>
            </w:r>
            <w:r w:rsidRPr="000550A2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autorizaram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os</w:t>
            </w:r>
            <w:r w:rsidRPr="000550A2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Parcelamento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 Débitos vigentes, originados das contribuições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previdenciárias em atraso, apuradas e confessadas,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acompanhados de demonstrativo que discrimine, por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competência,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valores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originários,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atualizações,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juros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valor total consolidado, conforme Modelo 12 da Deliberação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4253B6" w:rsidP="000550A2">
            <w:pPr>
              <w:widowControl w:val="0"/>
              <w:tabs>
                <w:tab w:val="left" w:pos="871"/>
              </w:tabs>
              <w:autoSpaceDE w:val="0"/>
              <w:autoSpaceDN w:val="0"/>
              <w:spacing w:before="97" w:after="0" w:line="283" w:lineRule="auto"/>
              <w:ind w:right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pict>
                <v:line id="_x0000_s1027" style="position:absolute;left:0;text-align:left;z-index:251661312;mso-position-horizontal-relative:page;mso-position-vertical-relative:page" from="547.85pt,29pt" to="547.85pt,813.85pt" strokecolor="#3379b6" strokeweight=".26469mm">
                  <w10:wrap anchorx="page" anchory="page"/>
                </v:line>
              </w:pic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Demonstrativo evidenciando o montante das</w:t>
            </w:r>
            <w:r w:rsidR="003B6D4C"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transferências recebidas do ente para cobertura de déficit</w:t>
            </w:r>
            <w:r w:rsidR="003B6D4C"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atuarial</w:t>
            </w:r>
            <w:r w:rsidR="003B6D4C"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no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ou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declaração</w:t>
            </w:r>
            <w:r w:rsidR="003B6D4C"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expressa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de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não</w:t>
            </w:r>
            <w:r w:rsidR="003B6D4C"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ocorrência,</w:t>
            </w:r>
            <w:r w:rsidR="003B6D4C"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="003B6D4C"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="003B6D4C"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13</w:t>
            </w:r>
            <w:r w:rsidR="003B6D4C"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da</w:t>
            </w:r>
            <w:r w:rsidR="003B6D4C"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="003B6D4C"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3B6D4C" w:rsidRPr="000550A2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391C6B" w:rsidP="000550A2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 evidenciando o montante das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transferências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recebidas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ente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para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cobertura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déficit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financeiro no exercício ou declaração expressa de não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ocorrência,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14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0550A2" w:rsidRDefault="00201649" w:rsidP="000550A2">
            <w:pPr>
              <w:widowControl w:val="0"/>
              <w:tabs>
                <w:tab w:val="left" w:pos="4145"/>
              </w:tabs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 discriminando os investimentos mantidos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pelo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RPPS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acordo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com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as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normas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definidas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pela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Portaria</w:t>
            </w:r>
            <w:r w:rsidRPr="000550A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CMN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</w:rPr>
              <w:t>nº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</w:rPr>
              <w:t>3.922/2010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ou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Modelo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15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31BF4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F4" w:rsidRPr="002E7B7E" w:rsidRDefault="00A31BF4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AF5D83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Cópia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Relatório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Avaliação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Atuarial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realizado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por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técnico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habilitado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entidade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independente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legalmente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habilitada,</w:t>
            </w:r>
          </w:p>
          <w:p w:rsidR="00A31BF4" w:rsidRPr="000550A2" w:rsidRDefault="00AF5D83" w:rsidP="000550A2">
            <w:pPr>
              <w:pStyle w:val="Corpodetexto"/>
              <w:tabs>
                <w:tab w:val="left" w:pos="8050"/>
              </w:tabs>
              <w:spacing w:line="2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referente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à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data-base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avaliação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encerramento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</w:t>
            </w:r>
            <w:r w:rsidRPr="000550A2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position w:val="2"/>
                <w:sz w:val="22"/>
                <w:szCs w:val="22"/>
              </w:rPr>
              <w:t xml:space="preserve">                               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refere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prestação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contas,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observados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parâmetrgerais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para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organização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revisão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plano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custeio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0550A2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z w:val="22"/>
                <w:szCs w:val="22"/>
              </w:rPr>
              <w:t>benefícios.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AF5D83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 que evidencie a memória de cálculo do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limite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legal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taxa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administração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no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exercício,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explicitando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0550A2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percentual definido em lei, a ser utilizada na cobertura das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despesas administrativas do regime próprio de previdência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social,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Modelo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16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Pr="002E7B7E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EB74B4" w:rsidP="000550A2">
            <w:pPr>
              <w:widowControl w:val="0"/>
              <w:tabs>
                <w:tab w:val="left" w:pos="871"/>
                <w:tab w:val="left" w:pos="3578"/>
              </w:tabs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Demonstrativo que evidencie as despesas administrativas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 unidade gestora do Regime Próprio de Previdência Social –</w:t>
            </w:r>
            <w:r w:rsidRPr="000550A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RPPS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para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fins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verificação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quanto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limite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legal</w:t>
            </w:r>
            <w:r w:rsidRPr="000550A2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 taxa de administração, conforme Modelo 17 da Deliberação</w:t>
            </w:r>
            <w:r w:rsidRPr="000550A2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Pr="002E7B7E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3064A5" w:rsidP="000550A2">
            <w:pPr>
              <w:widowControl w:val="0"/>
              <w:tabs>
                <w:tab w:val="left" w:pos="714"/>
              </w:tabs>
              <w:autoSpaceDE w:val="0"/>
              <w:autoSpaceDN w:val="0"/>
              <w:spacing w:before="97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Relatório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que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definiu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política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anual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investimentos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</w:t>
            </w:r>
            <w:r w:rsidRPr="000550A2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 xml:space="preserve">suas </w:t>
            </w:r>
            <w:r w:rsidRPr="000550A2">
              <w:rPr>
                <w:rFonts w:ascii="Times New Roman" w:hAnsi="Times New Roman" w:cs="Times New Roman"/>
                <w:w w:val="90"/>
              </w:rPr>
              <w:t>revisões,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na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forma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do</w:t>
            </w:r>
            <w:r w:rsidRPr="000550A2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artigo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4º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da</w:t>
            </w:r>
            <w:r w:rsidRPr="000550A2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Resolução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CMN</w:t>
            </w:r>
            <w:r w:rsidRPr="000550A2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nº</w:t>
            </w:r>
            <w:r w:rsidRPr="000550A2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</w:rPr>
              <w:t>3.922/2010</w:t>
            </w:r>
            <w:r w:rsidRPr="000550A2">
              <w:rPr>
                <w:rFonts w:ascii="Times New Roman" w:hAnsi="Times New Roman" w:cs="Times New Roman"/>
              </w:rPr>
              <w:tab/>
            </w:r>
            <w:r w:rsidRPr="000550A2">
              <w:rPr>
                <w:rFonts w:ascii="Times New Roman" w:hAnsi="Times New Roman" w:cs="Times New Roman"/>
                <w:w w:val="95"/>
                <w:position w:val="2"/>
              </w:rPr>
              <w:t xml:space="preserve">                              </w:t>
            </w:r>
            <w:r w:rsidRPr="000550A2">
              <w:rPr>
                <w:rFonts w:ascii="Times New Roman" w:hAnsi="Times New Roman" w:cs="Times New Roman"/>
                <w:w w:val="95"/>
              </w:rPr>
              <w:t>ou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aprovado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pelo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órgão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colegiado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da unidade</w:t>
            </w:r>
            <w:r w:rsidRPr="000550A2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jurisdicionada.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Pr="002E7B7E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315969" w:rsidP="000550A2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A2">
              <w:rPr>
                <w:rFonts w:ascii="Times New Roman" w:hAnsi="Times New Roman" w:cs="Times New Roman"/>
                <w:w w:val="95"/>
              </w:rPr>
              <w:t>Cópia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Certificados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responsáveis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gestão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dos recursos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do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RPPS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no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exercício,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na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forma</w:t>
            </w:r>
            <w:r w:rsidRPr="000550A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estabelecida</w:t>
            </w:r>
            <w:r w:rsidRPr="000550A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pela</w:t>
            </w:r>
            <w:r w:rsidRPr="000550A2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0550A2">
              <w:rPr>
                <w:rFonts w:ascii="Times New Roman" w:hAnsi="Times New Roman" w:cs="Times New Roman"/>
                <w:w w:val="95"/>
              </w:rPr>
              <w:t>Portaria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MPS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nº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519/2011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ou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</w:rPr>
              <w:t xml:space="preserve">o </w:t>
            </w:r>
            <w:r w:rsidRPr="000550A2">
              <w:rPr>
                <w:rFonts w:ascii="Times New Roman" w:hAnsi="Times New Roman" w:cs="Times New Roman"/>
              </w:rPr>
              <w:t>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  <w:p w:rsidR="00AF5D83" w:rsidRPr="002E7B7E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637D6D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Certificado de Regularidade Previdenciária - CRP emitido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pelo Ministério da Previdência Social, conforme critérios e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  <w:sz w:val="22"/>
                <w:szCs w:val="22"/>
              </w:rPr>
              <w:t xml:space="preserve">exigências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estabelecidos na Lei nº 9.717/1998 ou alterações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atesta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ente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federativo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segue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normas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boa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gestão,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forma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assegurar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pagamento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dos</w:t>
            </w:r>
            <w:r w:rsidRPr="000550A2">
              <w:rPr>
                <w:rFonts w:ascii="Times New Roman" w:hAnsi="Times New Roman" w:cs="Times New Roman"/>
                <w:spacing w:val="-16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benefícios</w:t>
            </w:r>
            <w:r w:rsidRPr="000550A2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previdenciários aos seus segurados, com validade na data de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encerramento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financeiro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em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637D6D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Extrato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Previdenciário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as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informações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sobre</w:t>
            </w:r>
            <w:r w:rsidRPr="000550A2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situação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ente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em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relação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cada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um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dos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critérios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previstos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na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Lei</w:t>
            </w:r>
            <w:r w:rsidRPr="000550A2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nº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9.717/98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cuja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regularidade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é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exigida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para fins de emissão do CRP, com referência à data de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encerramento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financeiro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em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637D6D" w:rsidP="000550A2">
            <w:pPr>
              <w:pStyle w:val="Corpodetexto"/>
              <w:spacing w:before="97" w:line="283" w:lineRule="auto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montantes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recebidos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pagos</w:t>
            </w:r>
            <w:r w:rsidRPr="000550A2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título</w:t>
            </w:r>
            <w:r w:rsidRPr="000550A2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compensação financeira no exercício, conforme estabelecido na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  <w:sz w:val="22"/>
                <w:szCs w:val="22"/>
              </w:rPr>
              <w:t xml:space="preserve">Lei Federal nº 9.796/1999,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regulamentada pelo Decreto Federal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  <w:sz w:val="22"/>
                <w:szCs w:val="22"/>
              </w:rPr>
              <w:t>nº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  <w:sz w:val="22"/>
                <w:szCs w:val="22"/>
              </w:rPr>
              <w:t>3.112/1999,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spacing w:val="-1"/>
                <w:w w:val="95"/>
                <w:sz w:val="22"/>
                <w:szCs w:val="22"/>
              </w:rPr>
              <w:t>ou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posteriores,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conforme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Modelo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18</w:t>
            </w:r>
            <w:r w:rsidRPr="000550A2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Deliberação</w:t>
            </w:r>
            <w:r w:rsidRPr="000550A2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0"/>
                <w:sz w:val="22"/>
                <w:szCs w:val="22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08301D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Cópias dos relatórios e pareceres de órgãos colegiados e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entidades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devam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pronunciar</w:t>
            </w:r>
            <w:r w:rsidRPr="000550A2">
              <w:rPr>
                <w:rFonts w:ascii="Times New Roman" w:hAnsi="Times New Roman" w:cs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sobre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contas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0550A2">
              <w:rPr>
                <w:rFonts w:ascii="Times New Roman" w:hAnsi="Times New Roman" w:cs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sobre</w:t>
            </w:r>
            <w:r w:rsidRPr="000550A2">
              <w:rPr>
                <w:rFonts w:ascii="Times New Roman" w:hAnsi="Times New Roman" w:cs="Times New Roman"/>
                <w:spacing w:val="-1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0550A2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gestão da unidade jurisdicionada no exercício em análise,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consoante previsão em lei ou em seus atos constitutivos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(Conselhos de Administração, Conselhos Fiscais, Conselhos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Consultivos, Conselhos Deliberativos, Conselhos Municipais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vinculados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aos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Fundos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Especiais,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dentre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outros).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F5D83" w:rsidRPr="002E7B7E" w:rsidTr="00C125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D83" w:rsidRPr="002E7B7E" w:rsidRDefault="00AF5D83" w:rsidP="00C12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0550A2" w:rsidRDefault="001D5524" w:rsidP="000550A2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Cópia do ato que designou formalmente o servidor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responsável pela gestão dos recursos do RPPS, no caso de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gestão própria da execução da política de investimentos,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acompanhado da comprovação de que este foi aprovado em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exame de certificação organizado por entidade autônoma de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reconhecida capacidade técnica difusão no mercado brasileiro</w:t>
            </w:r>
            <w:r w:rsidRPr="000550A2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capitais,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conforme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exigência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Portaria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MPS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nº</w:t>
            </w:r>
            <w:r w:rsidRPr="000550A2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519/2011</w:t>
            </w:r>
            <w:r w:rsidRPr="000550A2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0550A2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alterações</w:t>
            </w:r>
            <w:r w:rsidRPr="000550A2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0550A2">
              <w:rPr>
                <w:rFonts w:ascii="Times New Roman" w:hAnsi="Times New Roman" w:cs="Times New Roman"/>
                <w:w w:val="95"/>
                <w:sz w:val="22"/>
                <w:szCs w:val="22"/>
              </w:rPr>
              <w:t>posteriores.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83" w:rsidRPr="002E7B7E" w:rsidRDefault="00AF5D83" w:rsidP="00C125A0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D83" w:rsidRDefault="00AF5D83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A31BF4" w:rsidRDefault="00A31BF4" w:rsidP="00A31BF4"/>
    <w:p w:rsidR="000550A2" w:rsidRPr="002E7B7E" w:rsidRDefault="000550A2" w:rsidP="00A31BF4"/>
    <w:p w:rsidR="00A31BF4" w:rsidRPr="002E7B7E" w:rsidRDefault="00A31BF4" w:rsidP="00A31BF4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A31BF4" w:rsidRPr="002E7B7E" w:rsidRDefault="00A31BF4" w:rsidP="00C1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A31BF4" w:rsidRPr="002E7B7E" w:rsidRDefault="00A31BF4" w:rsidP="00C125A0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A31BF4" w:rsidRPr="002E7B7E" w:rsidRDefault="00A31BF4" w:rsidP="00C125A0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A31BF4" w:rsidRPr="002E7B7E" w:rsidRDefault="00A31BF4" w:rsidP="00C125A0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</w:tbl>
    <w:p w:rsidR="00A31BF4" w:rsidRPr="002E7B7E" w:rsidRDefault="00A31BF4" w:rsidP="00A31B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BF4" w:rsidRPr="002E7B7E" w:rsidRDefault="00A31BF4" w:rsidP="00A31BF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A31BF4" w:rsidRPr="002E7B7E" w:rsidRDefault="00A31BF4" w:rsidP="00A3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A31BF4" w:rsidRPr="002E7B7E" w:rsidTr="00C125A0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A31BF4" w:rsidRPr="002E7B7E" w:rsidTr="00C125A0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  <w:tr w:rsidR="00A31BF4" w:rsidRPr="002E7B7E" w:rsidTr="00C125A0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BF4" w:rsidRPr="002E7B7E" w:rsidRDefault="00A31BF4" w:rsidP="00C125A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BF4" w:rsidRPr="002E7B7E" w:rsidRDefault="00A31BF4" w:rsidP="00C125A0">
            <w:pPr>
              <w:spacing w:after="0"/>
            </w:pPr>
          </w:p>
        </w:tc>
      </w:tr>
    </w:tbl>
    <w:p w:rsidR="00A31BF4" w:rsidRPr="002E7B7E" w:rsidRDefault="00A31BF4" w:rsidP="00A31BF4">
      <w:r w:rsidRPr="002E7B7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31BF4" w:rsidRPr="002E7B7E" w:rsidRDefault="00A31BF4" w:rsidP="00A31BF4">
      <w:pPr>
        <w:tabs>
          <w:tab w:val="left" w:pos="1764"/>
        </w:tabs>
      </w:pPr>
      <w:r w:rsidRPr="002E7B7E">
        <w:tab/>
      </w:r>
    </w:p>
    <w:p w:rsidR="00A31BF4" w:rsidRPr="002E7B7E" w:rsidRDefault="00A31BF4" w:rsidP="00A31BF4"/>
    <w:p w:rsidR="00A31BF4" w:rsidRPr="002E7B7E" w:rsidRDefault="00A31BF4" w:rsidP="00A31BF4"/>
    <w:p w:rsidR="002A67E7" w:rsidRDefault="002A67E7"/>
    <w:sectPr w:rsidR="002A67E7" w:rsidSect="009207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B8" w:rsidRDefault="008667B8" w:rsidP="00A31BF4">
      <w:pPr>
        <w:spacing w:after="0" w:line="240" w:lineRule="auto"/>
      </w:pPr>
      <w:r>
        <w:separator/>
      </w:r>
    </w:p>
  </w:endnote>
  <w:endnote w:type="continuationSeparator" w:id="0">
    <w:p w:rsidR="008667B8" w:rsidRDefault="008667B8" w:rsidP="00A3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8667B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3B6">
          <w:rPr>
            <w:noProof/>
          </w:rPr>
          <w:t>2</w:t>
        </w:r>
        <w:r>
          <w:fldChar w:fldCharType="end"/>
        </w:r>
      </w:p>
    </w:sdtContent>
  </w:sdt>
  <w:p w:rsidR="002E7B7E" w:rsidRDefault="004253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B8" w:rsidRDefault="008667B8" w:rsidP="00A31BF4">
      <w:pPr>
        <w:spacing w:after="0" w:line="240" w:lineRule="auto"/>
      </w:pPr>
      <w:r>
        <w:separator/>
      </w:r>
    </w:p>
  </w:footnote>
  <w:footnote w:type="continuationSeparator" w:id="0">
    <w:p w:rsidR="008667B8" w:rsidRDefault="008667B8" w:rsidP="00A3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BF4" w:rsidRDefault="00A31BF4">
    <w:pPr>
      <w:pStyle w:val="Cabealho"/>
    </w:pPr>
  </w:p>
  <w:tbl>
    <w:tblPr>
      <w:tblW w:w="1686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024"/>
      <w:gridCol w:w="14842"/>
    </w:tblGrid>
    <w:tr w:rsidR="00A31BF4" w:rsidRPr="0074224B" w:rsidTr="004253B6">
      <w:trPr>
        <w:trHeight w:val="72"/>
      </w:trPr>
      <w:tc>
        <w:tcPr>
          <w:tcW w:w="2024" w:type="dxa"/>
          <w:tcBorders>
            <w:top w:val="nil"/>
            <w:left w:val="nil"/>
            <w:bottom w:val="nil"/>
            <w:right w:val="nil"/>
          </w:tcBorders>
        </w:tcPr>
        <w:p w:rsidR="00A31BF4" w:rsidRPr="0074224B" w:rsidRDefault="00A31BF4" w:rsidP="00C125A0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-285744</wp:posOffset>
                </wp:positionH>
                <wp:positionV relativeFrom="paragraph">
                  <wp:posOffset>-29837</wp:posOffset>
                </wp:positionV>
                <wp:extent cx="812165" cy="8064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A31BF4" w:rsidRPr="0074224B" w:rsidRDefault="00A31BF4" w:rsidP="00C125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A31BF4" w:rsidRPr="0074224B" w:rsidRDefault="00A31BF4" w:rsidP="00C125A0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A31BF4" w:rsidRPr="0074224B" w:rsidRDefault="00A31BF4" w:rsidP="00C125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</w:tr>
  </w:tbl>
  <w:p w:rsidR="00A31BF4" w:rsidRDefault="00A31BF4">
    <w:pPr>
      <w:pStyle w:val="Cabealho"/>
    </w:pPr>
  </w:p>
  <w:p w:rsidR="007F3866" w:rsidRDefault="004253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A26"/>
    <w:multiLevelType w:val="multilevel"/>
    <w:tmpl w:val="1BE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21E"/>
    <w:multiLevelType w:val="multilevel"/>
    <w:tmpl w:val="9C1EC062"/>
    <w:lvl w:ilvl="0">
      <w:start w:val="2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2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F47E0"/>
    <w:multiLevelType w:val="hybridMultilevel"/>
    <w:tmpl w:val="1F8A381A"/>
    <w:lvl w:ilvl="0" w:tplc="A014CD34">
      <w:start w:val="37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D966CB04">
      <w:numFmt w:val="bullet"/>
      <w:lvlText w:val="•"/>
      <w:lvlJc w:val="left"/>
      <w:pPr>
        <w:ind w:left="1639" w:hanging="304"/>
      </w:pPr>
      <w:rPr>
        <w:rFonts w:hint="default"/>
        <w:lang w:val="pt-PT" w:eastAsia="en-US" w:bidi="ar-SA"/>
      </w:rPr>
    </w:lvl>
    <w:lvl w:ilvl="2" w:tplc="F4E6E2DA">
      <w:numFmt w:val="bullet"/>
      <w:lvlText w:val="•"/>
      <w:lvlJc w:val="left"/>
      <w:pPr>
        <w:ind w:left="2559" w:hanging="304"/>
      </w:pPr>
      <w:rPr>
        <w:rFonts w:hint="default"/>
        <w:lang w:val="pt-PT" w:eastAsia="en-US" w:bidi="ar-SA"/>
      </w:rPr>
    </w:lvl>
    <w:lvl w:ilvl="3" w:tplc="85FCBD60">
      <w:numFmt w:val="bullet"/>
      <w:lvlText w:val="•"/>
      <w:lvlJc w:val="left"/>
      <w:pPr>
        <w:ind w:left="3479" w:hanging="304"/>
      </w:pPr>
      <w:rPr>
        <w:rFonts w:hint="default"/>
        <w:lang w:val="pt-PT" w:eastAsia="en-US" w:bidi="ar-SA"/>
      </w:rPr>
    </w:lvl>
    <w:lvl w:ilvl="4" w:tplc="C194F406">
      <w:numFmt w:val="bullet"/>
      <w:lvlText w:val="•"/>
      <w:lvlJc w:val="left"/>
      <w:pPr>
        <w:ind w:left="4399" w:hanging="304"/>
      </w:pPr>
      <w:rPr>
        <w:rFonts w:hint="default"/>
        <w:lang w:val="pt-PT" w:eastAsia="en-US" w:bidi="ar-SA"/>
      </w:rPr>
    </w:lvl>
    <w:lvl w:ilvl="5" w:tplc="0A606342">
      <w:numFmt w:val="bullet"/>
      <w:lvlText w:val="•"/>
      <w:lvlJc w:val="left"/>
      <w:pPr>
        <w:ind w:left="5319" w:hanging="304"/>
      </w:pPr>
      <w:rPr>
        <w:rFonts w:hint="default"/>
        <w:lang w:val="pt-PT" w:eastAsia="en-US" w:bidi="ar-SA"/>
      </w:rPr>
    </w:lvl>
    <w:lvl w:ilvl="6" w:tplc="4A0292E0">
      <w:numFmt w:val="bullet"/>
      <w:lvlText w:val="•"/>
      <w:lvlJc w:val="left"/>
      <w:pPr>
        <w:ind w:left="6239" w:hanging="304"/>
      </w:pPr>
      <w:rPr>
        <w:rFonts w:hint="default"/>
        <w:lang w:val="pt-PT" w:eastAsia="en-US" w:bidi="ar-SA"/>
      </w:rPr>
    </w:lvl>
    <w:lvl w:ilvl="7" w:tplc="3AE49760">
      <w:numFmt w:val="bullet"/>
      <w:lvlText w:val="•"/>
      <w:lvlJc w:val="left"/>
      <w:pPr>
        <w:ind w:left="7159" w:hanging="304"/>
      </w:pPr>
      <w:rPr>
        <w:rFonts w:hint="default"/>
        <w:lang w:val="pt-PT" w:eastAsia="en-US" w:bidi="ar-SA"/>
      </w:rPr>
    </w:lvl>
    <w:lvl w:ilvl="8" w:tplc="B25ACB60">
      <w:numFmt w:val="bullet"/>
      <w:lvlText w:val="•"/>
      <w:lvlJc w:val="left"/>
      <w:pPr>
        <w:ind w:left="8079" w:hanging="304"/>
      </w:pPr>
      <w:rPr>
        <w:rFonts w:hint="default"/>
        <w:lang w:val="pt-PT" w:eastAsia="en-US" w:bidi="ar-SA"/>
      </w:rPr>
    </w:lvl>
  </w:abstractNum>
  <w:abstractNum w:abstractNumId="7" w15:restartNumberingAfterBreak="0">
    <w:nsid w:val="58574D8C"/>
    <w:multiLevelType w:val="hybridMultilevel"/>
    <w:tmpl w:val="92065B52"/>
    <w:lvl w:ilvl="0" w:tplc="CF5A4FB4">
      <w:start w:val="26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15BE7F7C">
      <w:numFmt w:val="bullet"/>
      <w:lvlText w:val="•"/>
      <w:lvlJc w:val="left"/>
      <w:pPr>
        <w:ind w:left="1605" w:hanging="304"/>
      </w:pPr>
      <w:rPr>
        <w:rFonts w:hint="default"/>
        <w:lang w:val="pt-PT" w:eastAsia="en-US" w:bidi="ar-SA"/>
      </w:rPr>
    </w:lvl>
    <w:lvl w:ilvl="2" w:tplc="5906A8E6">
      <w:numFmt w:val="bullet"/>
      <w:lvlText w:val="•"/>
      <w:lvlJc w:val="left"/>
      <w:pPr>
        <w:ind w:left="2491" w:hanging="304"/>
      </w:pPr>
      <w:rPr>
        <w:rFonts w:hint="default"/>
        <w:lang w:val="pt-PT" w:eastAsia="en-US" w:bidi="ar-SA"/>
      </w:rPr>
    </w:lvl>
    <w:lvl w:ilvl="3" w:tplc="F874FCEA">
      <w:numFmt w:val="bullet"/>
      <w:lvlText w:val="•"/>
      <w:lvlJc w:val="left"/>
      <w:pPr>
        <w:ind w:left="3377" w:hanging="304"/>
      </w:pPr>
      <w:rPr>
        <w:rFonts w:hint="default"/>
        <w:lang w:val="pt-PT" w:eastAsia="en-US" w:bidi="ar-SA"/>
      </w:rPr>
    </w:lvl>
    <w:lvl w:ilvl="4" w:tplc="466ADB16">
      <w:numFmt w:val="bullet"/>
      <w:lvlText w:val="•"/>
      <w:lvlJc w:val="left"/>
      <w:pPr>
        <w:ind w:left="4263" w:hanging="304"/>
      </w:pPr>
      <w:rPr>
        <w:rFonts w:hint="default"/>
        <w:lang w:val="pt-PT" w:eastAsia="en-US" w:bidi="ar-SA"/>
      </w:rPr>
    </w:lvl>
    <w:lvl w:ilvl="5" w:tplc="70D2BFF8">
      <w:numFmt w:val="bullet"/>
      <w:lvlText w:val="•"/>
      <w:lvlJc w:val="left"/>
      <w:pPr>
        <w:ind w:left="5149" w:hanging="304"/>
      </w:pPr>
      <w:rPr>
        <w:rFonts w:hint="default"/>
        <w:lang w:val="pt-PT" w:eastAsia="en-US" w:bidi="ar-SA"/>
      </w:rPr>
    </w:lvl>
    <w:lvl w:ilvl="6" w:tplc="3056D43A">
      <w:numFmt w:val="bullet"/>
      <w:lvlText w:val="•"/>
      <w:lvlJc w:val="left"/>
      <w:pPr>
        <w:ind w:left="6035" w:hanging="304"/>
      </w:pPr>
      <w:rPr>
        <w:rFonts w:hint="default"/>
        <w:lang w:val="pt-PT" w:eastAsia="en-US" w:bidi="ar-SA"/>
      </w:rPr>
    </w:lvl>
    <w:lvl w:ilvl="7" w:tplc="301E569E">
      <w:numFmt w:val="bullet"/>
      <w:lvlText w:val="•"/>
      <w:lvlJc w:val="left"/>
      <w:pPr>
        <w:ind w:left="6921" w:hanging="304"/>
      </w:pPr>
      <w:rPr>
        <w:rFonts w:hint="default"/>
        <w:lang w:val="pt-PT" w:eastAsia="en-US" w:bidi="ar-SA"/>
      </w:rPr>
    </w:lvl>
    <w:lvl w:ilvl="8" w:tplc="45042E9E">
      <w:numFmt w:val="bullet"/>
      <w:lvlText w:val="•"/>
      <w:lvlJc w:val="left"/>
      <w:pPr>
        <w:ind w:left="7807" w:hanging="304"/>
      </w:pPr>
      <w:rPr>
        <w:rFonts w:hint="default"/>
        <w:lang w:val="pt-PT" w:eastAsia="en-US" w:bidi="ar-SA"/>
      </w:rPr>
    </w:lvl>
  </w:abstractNum>
  <w:abstractNum w:abstractNumId="8" w15:restartNumberingAfterBreak="0">
    <w:nsid w:val="61D44B33"/>
    <w:multiLevelType w:val="multilevel"/>
    <w:tmpl w:val="8B56EBF2"/>
    <w:lvl w:ilvl="0">
      <w:start w:val="36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9" w15:restartNumberingAfterBreak="0">
    <w:nsid w:val="6E4F0D82"/>
    <w:multiLevelType w:val="hybridMultilevel"/>
    <w:tmpl w:val="C8B0B66C"/>
    <w:lvl w:ilvl="0" w:tplc="D8A48B18">
      <w:start w:val="2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FC8623A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B440B0B6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B45CBEC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C24872A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CB8C6E80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A0E26AB8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9DFEA5A0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61D834FC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10" w15:restartNumberingAfterBreak="0">
    <w:nsid w:val="779C7E9C"/>
    <w:multiLevelType w:val="multilevel"/>
    <w:tmpl w:val="ACB29EBE"/>
    <w:lvl w:ilvl="0">
      <w:start w:val="3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54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22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24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9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58" w:hanging="4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BF4"/>
    <w:rsid w:val="000550A2"/>
    <w:rsid w:val="0007114F"/>
    <w:rsid w:val="0008301D"/>
    <w:rsid w:val="00127594"/>
    <w:rsid w:val="001D5524"/>
    <w:rsid w:val="00201649"/>
    <w:rsid w:val="002A67E7"/>
    <w:rsid w:val="003064A5"/>
    <w:rsid w:val="00315969"/>
    <w:rsid w:val="00391C6B"/>
    <w:rsid w:val="003B6D4C"/>
    <w:rsid w:val="004253B6"/>
    <w:rsid w:val="00526A39"/>
    <w:rsid w:val="00637D6D"/>
    <w:rsid w:val="007C5CAF"/>
    <w:rsid w:val="008667B8"/>
    <w:rsid w:val="00A31BF4"/>
    <w:rsid w:val="00AF5D83"/>
    <w:rsid w:val="00BF1F03"/>
    <w:rsid w:val="00C314EC"/>
    <w:rsid w:val="00EA6BD0"/>
    <w:rsid w:val="00EB74B4"/>
    <w:rsid w:val="00F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725B36-54A5-4A88-B1D1-B92B58A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BF4"/>
  </w:style>
  <w:style w:type="paragraph" w:styleId="Rodap">
    <w:name w:val="footer"/>
    <w:basedOn w:val="Normal"/>
    <w:link w:val="RodapChar"/>
    <w:uiPriority w:val="99"/>
    <w:unhideWhenUsed/>
    <w:rsid w:val="00A31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BF4"/>
  </w:style>
  <w:style w:type="paragraph" w:styleId="Corpodetexto">
    <w:name w:val="Body Text"/>
    <w:basedOn w:val="Normal"/>
    <w:link w:val="CorpodetextoChar"/>
    <w:uiPriority w:val="1"/>
    <w:unhideWhenUsed/>
    <w:qFormat/>
    <w:rsid w:val="00A31BF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1BF4"/>
    <w:rPr>
      <w:rFonts w:ascii="Tahoma" w:eastAsia="Tahoma" w:hAnsi="Tahoma" w:cs="Tahoma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B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A31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1BF4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qFormat/>
    <w:rsid w:val="00A31B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2975</Words>
  <Characters>16070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21</cp:revision>
  <dcterms:created xsi:type="dcterms:W3CDTF">2023-05-16T17:14:00Z</dcterms:created>
  <dcterms:modified xsi:type="dcterms:W3CDTF">2024-07-23T14:31:00Z</dcterms:modified>
</cp:coreProperties>
</file>