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D8" w:rsidRPr="002E7B7E" w:rsidRDefault="00D33AD8" w:rsidP="00D33AD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D33AD8" w:rsidRDefault="00D33AD8" w:rsidP="00D33AD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24587A" w:rsidRPr="0024587A" w:rsidRDefault="0024587A" w:rsidP="00D33AD8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24587A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PRÁTICA DE ATO ILEGAL, ILEGÍTIMO OU ANTIECONÔMICO DE QUE RESULTE OU POSSA RESULTAR DANO AO ERÁRIO</w:t>
      </w:r>
    </w:p>
    <w:p w:rsidR="00D33AD8" w:rsidRPr="002E7B7E" w:rsidRDefault="00D33AD8" w:rsidP="00D33AD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D33AD8" w:rsidRPr="002E7B7E" w:rsidRDefault="00D33AD8" w:rsidP="00D33AD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D33AD8" w:rsidRPr="002E7B7E" w:rsidRDefault="00D33AD8" w:rsidP="00D33AD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D33AD8" w:rsidRPr="002E7B7E" w:rsidRDefault="00D33AD8" w:rsidP="00D33A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3AD8" w:rsidRPr="002E7B7E" w:rsidRDefault="00D33AD8" w:rsidP="00D33AD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D33AD8" w:rsidRPr="002E7B7E" w:rsidRDefault="00D33AD8" w:rsidP="00D3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7C6257" w:rsidRPr="002E7B7E" w:rsidTr="001D4B3E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257" w:rsidRPr="002E7B7E" w:rsidRDefault="007C6257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7C6257" w:rsidRPr="002E7B7E" w:rsidRDefault="007C6257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omissão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 dever de prestar contas ou a não comprovação da correta aplicação de recursos transferidos, a qualquer título, pela administração</w:t>
            </w:r>
            <w:r w:rsidR="0024587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7C6257" w:rsidRPr="002E7B7E" w:rsidRDefault="007C6257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–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ocorrência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desfalque, extravio, perda, subtração ou deterioração culposa ou dolosa de valores e bens públicos;</w:t>
            </w:r>
          </w:p>
          <w:p w:rsidR="007C6257" w:rsidRPr="002E7B7E" w:rsidRDefault="007C6257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III - prática de qualquer ato ilegal, ilegítimo ou antieconômico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erário;</w:t>
            </w:r>
          </w:p>
          <w:p w:rsidR="007C6257" w:rsidRPr="002E7B7E" w:rsidRDefault="007C6257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IV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concessão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quaisquer benefícios fiscais ou de renúncia de receitas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erário.</w:t>
            </w:r>
          </w:p>
        </w:tc>
      </w:tr>
    </w:tbl>
    <w:p w:rsidR="00D33AD8" w:rsidRPr="002E7B7E" w:rsidRDefault="00D33AD8" w:rsidP="00D3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3AD8" w:rsidRPr="002E7B7E" w:rsidRDefault="00D33AD8" w:rsidP="00D33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D33AD8" w:rsidRPr="002E7B7E" w:rsidRDefault="00D33AD8" w:rsidP="00D33A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substituição a procedimentos disciplinares destinados a apurar infrações administrativas;</w:t>
      </w:r>
    </w:p>
    <w:p w:rsidR="00D33AD8" w:rsidRPr="002E7B7E" w:rsidRDefault="00D33AD8" w:rsidP="00D33A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obter o ressarcimento de valores pagos indevidamente a servidores;</w:t>
      </w:r>
    </w:p>
    <w:p w:rsidR="00D33AD8" w:rsidRPr="002E7B7E" w:rsidRDefault="00D33AD8" w:rsidP="00D33A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casos de prejuízo causado por terceiros pelo descumprimento de cláusula contratual legitimamente acordada, exceto quando verificado ato ilícito decorrente de ação ou omissão de agente público;</w:t>
      </w:r>
    </w:p>
    <w:p w:rsidR="00D33AD8" w:rsidRPr="002E7B7E" w:rsidRDefault="00D33AD8" w:rsidP="00D33A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houver o recolhimento do valor integral do débito, recomposição dos bens ou dos valores públicos no âmbito interno ou a apresentação e aprovação da prestação das contas; e</w:t>
      </w:r>
    </w:p>
    <w:p w:rsidR="00D33AD8" w:rsidRPr="002E7B7E" w:rsidRDefault="00D33AD8" w:rsidP="00D33AD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ocorrência de perda, extravio ou outra irregularidade sem que se caracterize má fé de quem lhe deu causa, se o dano for imediatamente ressarcido.</w:t>
      </w:r>
    </w:p>
    <w:p w:rsidR="00D33AD8" w:rsidRPr="002E7B7E" w:rsidRDefault="00D33AD8" w:rsidP="00D33AD8">
      <w:pPr>
        <w:numPr>
          <w:ilvl w:val="0"/>
          <w:numId w:val="2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3º Deliberação nº 279 e art. 4º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Foi instaurada e publicada Comissão multidisciplinar para formar, conduzir e instruir o procedimento? (Art. 6º da Deliberação nº 279 e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arts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</w:tbl>
    <w:p w:rsidR="00D33AD8" w:rsidRPr="002E7B7E" w:rsidRDefault="00D33AD8" w:rsidP="00D33AD8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D33AD8" w:rsidRPr="002E7B7E" w:rsidTr="001D4B3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relato das situações e dos fatos é suficiente para compreender a origem do dano ao erário? (Art.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parágrafo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  inciso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º,VI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 datas dos lançamentos no demonstrativo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24587A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2458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D33AD8" w:rsidRPr="002E7B7E" w:rsidTr="001D4B3E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4587A" w:rsidRDefault="00D33AD8" w:rsidP="001D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45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4587A" w:rsidRDefault="00D33AD8" w:rsidP="001D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45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4587A" w:rsidRDefault="00D33AD8" w:rsidP="001D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45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4587A" w:rsidRDefault="00D33AD8" w:rsidP="001D4B3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45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numPr>
                <w:ilvl w:val="0"/>
                <w:numId w:val="3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24587A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4587A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458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incidências,  com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</w:tbl>
    <w:p w:rsidR="00D33AD8" w:rsidRPr="002E7B7E" w:rsidRDefault="005A129D" w:rsidP="00D33AD8">
      <w:pPr>
        <w:pStyle w:val="PargrafodaLista"/>
        <w:numPr>
          <w:ilvl w:val="1"/>
          <w:numId w:val="1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8 - </w:t>
      </w: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D33AD8" w:rsidRPr="002E7B7E" w:rsidRDefault="00D33AD8" w:rsidP="00D33AD8">
      <w:pPr>
        <w:jc w:val="both"/>
        <w:rPr>
          <w:rFonts w:ascii="Times New Roman" w:hAnsi="Times New Roman" w:cs="Times New Roman"/>
          <w:b/>
          <w:lang w:eastAsia="pt-BR"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</w:t>
      </w:r>
      <w:r w:rsidR="005A129D">
        <w:rPr>
          <w:rFonts w:ascii="Times New Roman" w:hAnsi="Times New Roman" w:cs="Times New Roman"/>
          <w:b/>
          <w:lang w:eastAsia="pt-BR"/>
        </w:rPr>
        <w:t xml:space="preserve">DE </w:t>
      </w:r>
      <w:r w:rsidR="005A129D" w:rsidRPr="005A129D">
        <w:rPr>
          <w:rFonts w:ascii="Times New Roman" w:hAnsi="Times New Roman" w:cs="Times New Roman"/>
          <w:b/>
          <w:lang w:eastAsia="pt-BR"/>
        </w:rPr>
        <w:t>PRÁTICA DE ATO ILEGAL, ILEGÍTIMO OU ANTIECONÔMICO DE QUE RESULTE OU POSSA RESULTAR DANO AO ERÁRIO</w:t>
      </w:r>
      <w:r w:rsidR="005A129D">
        <w:rPr>
          <w:rFonts w:ascii="Times New Roman" w:hAnsi="Times New Roman" w:cs="Times New Roman"/>
          <w:b/>
          <w:lang w:eastAsia="pt-BR"/>
        </w:rPr>
        <w:t xml:space="preserve"> -</w:t>
      </w:r>
      <w:r>
        <w:rPr>
          <w:rFonts w:ascii="Times New Roman" w:hAnsi="Times New Roman" w:cs="Times New Roman"/>
          <w:b/>
          <w:lang w:eastAsia="pt-BR"/>
        </w:rPr>
        <w:t xml:space="preserve"> </w:t>
      </w:r>
      <w:r w:rsidRPr="002E7B7E">
        <w:rPr>
          <w:rFonts w:ascii="Times New Roman" w:hAnsi="Times New Roman" w:cs="Times New Roman"/>
          <w:b/>
          <w:lang w:eastAsia="pt-BR"/>
        </w:rPr>
        <w:t>Art. 2º. Inc</w:t>
      </w:r>
      <w:r>
        <w:rPr>
          <w:rFonts w:ascii="Times New Roman" w:hAnsi="Times New Roman" w:cs="Times New Roman"/>
          <w:b/>
          <w:lang w:eastAsia="pt-BR"/>
        </w:rPr>
        <w:t>.</w:t>
      </w:r>
      <w:r w:rsidRPr="002E7B7E">
        <w:rPr>
          <w:rFonts w:ascii="Times New Roman" w:hAnsi="Times New Roman" w:cs="Times New Roman"/>
          <w:b/>
          <w:lang w:eastAsia="pt-BR"/>
        </w:rPr>
        <w:t xml:space="preserve"> I</w:t>
      </w:r>
      <w:r>
        <w:rPr>
          <w:rFonts w:ascii="Times New Roman" w:hAnsi="Times New Roman" w:cs="Times New Roman"/>
          <w:b/>
          <w:lang w:eastAsia="pt-BR"/>
        </w:rPr>
        <w:t>V</w:t>
      </w:r>
      <w:r w:rsidRPr="002E7B7E">
        <w:rPr>
          <w:rFonts w:ascii="Times New Roman" w:hAnsi="Times New Roman" w:cs="Times New Roman"/>
          <w:b/>
          <w:lang w:eastAsia="pt-BR"/>
        </w:rPr>
        <w:t xml:space="preserve"> da Del. 279/2017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D33AD8" w:rsidRPr="002E7B7E" w:rsidTr="001D4B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BF11DA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6E75F0" w:rsidRDefault="00D33AD8" w:rsidP="001D4B3E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Cadastros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dos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responsáveis,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conforme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Modelo</w:t>
            </w:r>
            <w:r w:rsidRPr="006E75F0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1</w:t>
            </w:r>
            <w:r w:rsidRPr="006E75F0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6E75F0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277/17: do responsável pelo encaminhamento das contas; do responsável pelo setor contábil; do responsável pela Unidade Central de Controle Interno; de outros responsáveis, de acordo com o §3</w:t>
            </w:r>
            <w:proofErr w:type="gramStart"/>
            <w:r w:rsidRPr="006E75F0">
              <w:rPr>
                <w:rFonts w:ascii="Times New Roman" w:hAnsi="Times New Roman" w:cs="Times New Roman"/>
                <w:w w:val="95"/>
              </w:rPr>
              <w:t>º  e</w:t>
            </w:r>
            <w:proofErr w:type="gramEnd"/>
            <w:r w:rsidRPr="006E75F0">
              <w:rPr>
                <w:rFonts w:ascii="Times New Roman" w:hAnsi="Times New Roman" w:cs="Times New Roman"/>
                <w:w w:val="95"/>
              </w:rPr>
              <w:t xml:space="preserve">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D33AD8" w:rsidRPr="002E7B7E" w:rsidTr="001D4B3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6E75F0" w:rsidRDefault="00D33AD8" w:rsidP="001D4B3E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6E75F0">
              <w:rPr>
                <w:rFonts w:ascii="Times New Roman" w:hAnsi="Times New Roman" w:cs="Times New Roman"/>
                <w:w w:val="95"/>
              </w:rPr>
              <w:t>Cópias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outros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documentos</w:t>
            </w:r>
            <w:r w:rsidRPr="006E75F0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considerados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necessários</w:t>
            </w:r>
            <w:r w:rsidRPr="006E75F0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ao</w:t>
            </w:r>
            <w:r w:rsidRPr="006E75F0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melhor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julgamento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da</w:t>
            </w:r>
            <w:r w:rsidRPr="006E75F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tomada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de</w:t>
            </w:r>
            <w:r w:rsidRPr="006E75F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contas</w:t>
            </w:r>
            <w:r w:rsidRPr="006E75F0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pelo</w:t>
            </w:r>
            <w:r w:rsidRPr="006E75F0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6E75F0">
              <w:rPr>
                <w:rFonts w:ascii="Times New Roman" w:hAnsi="Times New Roman" w:cs="Times New Roman"/>
                <w:w w:val="95"/>
              </w:rPr>
              <w:t>TCE/RJ.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D33AD8" w:rsidRPr="002E7B7E" w:rsidRDefault="00D33AD8" w:rsidP="0024587A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D33AD8" w:rsidRPr="002E7B7E" w:rsidRDefault="00D33AD8" w:rsidP="001D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33AD8" w:rsidRPr="002E7B7E" w:rsidRDefault="00D33AD8" w:rsidP="001D4B3E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D33AD8" w:rsidRPr="002E7B7E" w:rsidRDefault="00D33AD8" w:rsidP="001D4B3E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D33AD8" w:rsidRPr="002E7B7E" w:rsidRDefault="00D33AD8" w:rsidP="001D4B3E">
            <w:pPr>
              <w:numPr>
                <w:ilvl w:val="0"/>
                <w:numId w:val="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</w:tbl>
    <w:p w:rsidR="00D33AD8" w:rsidRPr="002E7B7E" w:rsidRDefault="00D33AD8" w:rsidP="00D33A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3AD8" w:rsidRPr="002E7B7E" w:rsidRDefault="00D33AD8" w:rsidP="00D33AD8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D33AD8" w:rsidRPr="002E7B7E" w:rsidRDefault="00D33AD8" w:rsidP="00D33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D33AD8" w:rsidRPr="002E7B7E" w:rsidTr="001D4B3E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D33AD8" w:rsidRPr="002E7B7E" w:rsidTr="001D4B3E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  <w:tr w:rsidR="00D33AD8" w:rsidRPr="002E7B7E" w:rsidTr="001D4B3E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AD8" w:rsidRPr="002E7B7E" w:rsidRDefault="00D33AD8" w:rsidP="001D4B3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33AD8" w:rsidRPr="002E7B7E" w:rsidRDefault="00D33AD8" w:rsidP="001D4B3E">
            <w:pPr>
              <w:spacing w:after="0"/>
            </w:pPr>
          </w:p>
        </w:tc>
      </w:tr>
    </w:tbl>
    <w:p w:rsidR="0023563A" w:rsidRDefault="0023563A" w:rsidP="0024587A"/>
    <w:sectPr w:rsidR="0023563A" w:rsidSect="002356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AE" w:rsidRDefault="006E5AAE" w:rsidP="00D33AD8">
      <w:pPr>
        <w:spacing w:after="0" w:line="240" w:lineRule="auto"/>
      </w:pPr>
      <w:r>
        <w:separator/>
      </w:r>
    </w:p>
  </w:endnote>
  <w:endnote w:type="continuationSeparator" w:id="0">
    <w:p w:rsidR="006E5AAE" w:rsidRDefault="006E5AAE" w:rsidP="00D3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AE" w:rsidRDefault="006E5AAE" w:rsidP="00D33AD8">
      <w:pPr>
        <w:spacing w:after="0" w:line="240" w:lineRule="auto"/>
      </w:pPr>
      <w:r>
        <w:separator/>
      </w:r>
    </w:p>
  </w:footnote>
  <w:footnote w:type="continuationSeparator" w:id="0">
    <w:p w:rsidR="006E5AAE" w:rsidRDefault="006E5AAE" w:rsidP="00D3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D8" w:rsidRDefault="00D33AD8">
    <w:pPr>
      <w:pStyle w:val="Cabealho"/>
    </w:pPr>
  </w:p>
  <w:tbl>
    <w:tblPr>
      <w:tblW w:w="1771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74"/>
      <w:gridCol w:w="14842"/>
    </w:tblGrid>
    <w:tr w:rsidR="00D33AD8" w:rsidRPr="00CB532A" w:rsidTr="001D4B3E">
      <w:trPr>
        <w:trHeight w:val="72"/>
      </w:trPr>
      <w:tc>
        <w:tcPr>
          <w:tcW w:w="2874" w:type="dxa"/>
          <w:tcBorders>
            <w:top w:val="nil"/>
            <w:left w:val="nil"/>
            <w:bottom w:val="nil"/>
            <w:right w:val="nil"/>
          </w:tcBorders>
        </w:tcPr>
        <w:p w:rsidR="00D33AD8" w:rsidRPr="0074224B" w:rsidRDefault="00D33AD8" w:rsidP="001D4B3E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402104</wp:posOffset>
                </wp:positionH>
                <wp:positionV relativeFrom="paragraph">
                  <wp:posOffset>133081</wp:posOffset>
                </wp:positionV>
                <wp:extent cx="814064" cy="806824"/>
                <wp:effectExtent l="19050" t="0" r="5086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64" cy="806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D33AD8" w:rsidRPr="0074224B" w:rsidRDefault="00D33AD8" w:rsidP="001D4B3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D33AD8" w:rsidRDefault="00D33AD8" w:rsidP="001D4B3E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D33AD8" w:rsidRPr="00CB532A" w:rsidRDefault="00D33AD8" w:rsidP="001D4B3E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 </w:t>
          </w: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Controladoria Geral do Município</w:t>
          </w:r>
        </w:p>
      </w:tc>
    </w:tr>
  </w:tbl>
  <w:p w:rsidR="00D33AD8" w:rsidRDefault="00D33AD8">
    <w:pPr>
      <w:pStyle w:val="Cabealho"/>
    </w:pPr>
  </w:p>
  <w:p w:rsidR="00D33AD8" w:rsidRDefault="00D33A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AD8"/>
    <w:rsid w:val="0023563A"/>
    <w:rsid w:val="0024587A"/>
    <w:rsid w:val="005A129D"/>
    <w:rsid w:val="006E5AAE"/>
    <w:rsid w:val="007C6257"/>
    <w:rsid w:val="009C213F"/>
    <w:rsid w:val="00D3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58EB-25B0-4409-A976-A8FB7BE8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AD8"/>
  </w:style>
  <w:style w:type="paragraph" w:styleId="Rodap">
    <w:name w:val="footer"/>
    <w:basedOn w:val="Normal"/>
    <w:link w:val="RodapChar"/>
    <w:uiPriority w:val="99"/>
    <w:semiHidden/>
    <w:unhideWhenUsed/>
    <w:rsid w:val="00D33A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33AD8"/>
  </w:style>
  <w:style w:type="paragraph" w:styleId="Textodebalo">
    <w:name w:val="Balloon Text"/>
    <w:basedOn w:val="Normal"/>
    <w:link w:val="TextodebaloChar"/>
    <w:uiPriority w:val="99"/>
    <w:semiHidden/>
    <w:unhideWhenUsed/>
    <w:rsid w:val="00D3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A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D3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1840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5</cp:revision>
  <cp:lastPrinted>2024-07-23T15:13:00Z</cp:lastPrinted>
  <dcterms:created xsi:type="dcterms:W3CDTF">2023-06-07T17:58:00Z</dcterms:created>
  <dcterms:modified xsi:type="dcterms:W3CDTF">2024-07-23T15:13:00Z</dcterms:modified>
</cp:coreProperties>
</file>